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82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77"/>
        <w:gridCol w:w="582"/>
        <w:gridCol w:w="1206"/>
        <w:gridCol w:w="5364"/>
      </w:tblGrid>
      <w:tr w14:paraId="403DD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503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招生学院及代码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0B6F1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类型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7A8DC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考试科</w:t>
            </w: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目及代码</w:t>
            </w:r>
          </w:p>
        </w:tc>
        <w:tc>
          <w:tcPr>
            <w:tcW w:w="5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C3490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参考书目</w:t>
            </w:r>
          </w:p>
        </w:tc>
      </w:tr>
      <w:tr w14:paraId="5593D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71C56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59CC7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初试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DC04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815经济学基础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16626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《西方经济学（第二版）》上册，《西方经济学》编写组，高等教育出版社、人民出版社，2019 年 9 月，ISBN：9787040525533</w:t>
            </w:r>
          </w:p>
          <w:p w14:paraId="0E81A2DD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《西方经济学（第二版）》下册，《西方经济学》编写组，高等教育出版社、人民出版社，2019 年 9 月，ISBN：9787040525540</w:t>
            </w:r>
          </w:p>
        </w:tc>
      </w:tr>
      <w:tr w14:paraId="6E5F6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D49AE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2482B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初试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ED003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816运筹学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F37B5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《管理运筹学》（第五版），韩柏棠，高等教育出版社，ISBN：9787040527230</w:t>
            </w:r>
          </w:p>
        </w:tc>
      </w:tr>
      <w:tr w14:paraId="761E5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F5AD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C95E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复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56348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F111管理学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527C6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《管理学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原理与实践》（原书第10版）,斯蒂芬P.罗宾斯, 戴维. 机械工业出版社, 2019.</w:t>
            </w:r>
          </w:p>
          <w:p w14:paraId="58F8D3F3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《管理学》（马克思主义理论研究和建设工程重点教材）,《管理学》编写组, 高等教育出版社, 2019.</w:t>
            </w:r>
          </w:p>
          <w:p w14:paraId="044D3838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3.《管理学：原理与方法》（第八版），周三多等，复旦大学出版社，2024.</w:t>
            </w:r>
          </w:p>
        </w:tc>
      </w:tr>
      <w:tr w14:paraId="2E499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FBDE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AD42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复试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8FF90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F112数字经济基础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5F2AF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《数字经济学》，戎珂、周迪，清华大学出版社，2023年7月第一版，ISBN：787302634935</w:t>
            </w:r>
          </w:p>
          <w:p w14:paraId="106A156A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《数字经济学：理论与应用》，杨波，社会科学文献出版社，2023年6月第一版，ISBN：9787522811222</w:t>
            </w:r>
          </w:p>
          <w:p w14:paraId="5A329AB8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《数字经济》，马化腾、孟昭莉、闫德利、王花蕾，中信出版集团，2017年第一版，ISBN：9787508674230</w:t>
            </w:r>
          </w:p>
        </w:tc>
      </w:tr>
      <w:tr w14:paraId="11B42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A4C5D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D597F">
            <w:pPr>
              <w:widowControl/>
              <w:jc w:val="left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复试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3D7D">
            <w:pPr>
              <w:widowControl/>
              <w:jc w:val="left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F150思想政治理论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E6329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1.《习近平新时代中国特色社会主义思想概论》，人民出版社，2023年版，ISBN：9787040610536。</w:t>
            </w:r>
          </w:p>
          <w:p w14:paraId="73CD9081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2.《毛泽东思想和中国特色社会主义理论体系概论》，高等教育出版社，2023年版，ISBN：9787040599039。</w:t>
            </w:r>
          </w:p>
          <w:p w14:paraId="309FD567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3.《马克思主义基本原理》，高等教育出版社，2023年版，ISBN：9787040599008。</w:t>
            </w:r>
          </w:p>
          <w:p w14:paraId="14AB19C8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4.《思想道德与法治》，高等教育出版社，2023年版，ISBN：9787040599022。</w:t>
            </w:r>
          </w:p>
          <w:p w14:paraId="22CE8650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5.《时事报告大学生版》，中宣部《时事报告》，杂志社（考试当年1月-12月的国际、国内的重大时事）。</w:t>
            </w:r>
          </w:p>
        </w:tc>
      </w:tr>
      <w:tr w14:paraId="358CA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1B2D1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321C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937CB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J111宏观经济学</w:t>
            </w:r>
          </w:p>
        </w:tc>
        <w:tc>
          <w:tcPr>
            <w:tcW w:w="5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052E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《西方经济学（第二版）》下册，《西方经济学》编写组，高等教育出版社、人民出版社，2019年9月，ISBN：9787040525540</w:t>
            </w:r>
          </w:p>
        </w:tc>
      </w:tr>
      <w:tr w14:paraId="7D2F87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522A0">
            <w:pPr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11经济管理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学院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C2C84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568C1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J112微观经济学</w:t>
            </w:r>
          </w:p>
        </w:tc>
        <w:tc>
          <w:tcPr>
            <w:tcW w:w="5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FD7F8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《西方经济学（第二版）》上册，《西方经济学》编写组，高等教育出版社、人民出版社，2019年9月，ISBN：9787040525533</w:t>
            </w:r>
          </w:p>
        </w:tc>
      </w:tr>
    </w:tbl>
    <w:p w14:paraId="60D5088F">
      <w:pPr>
        <w:rPr>
          <w:rFonts w:ascii="Times New Roman" w:hAnsi="Times New Roman" w:eastAsia="黑体" w:cs="Times New Roman"/>
          <w:sz w:val="34"/>
          <w:szCs w:val="34"/>
        </w:rPr>
      </w:pPr>
      <w:r>
        <w:rPr>
          <w:rFonts w:ascii="Times New Roman" w:hAnsi="Times New Roman" w:eastAsia="黑体" w:cs="Times New Roman"/>
          <w:sz w:val="34"/>
          <w:szCs w:val="34"/>
        </w:rPr>
        <w:br w:type="page"/>
      </w:r>
    </w:p>
    <w:p w14:paraId="04E8120E">
      <w:pPr>
        <w:jc w:val="center"/>
        <w:rPr>
          <w:rFonts w:hint="eastAsia" w:ascii="Times New Roman" w:hAnsi="Times New Roman" w:eastAsia="黑体" w:cs="Times New Roman"/>
          <w:lang w:eastAsia="zh-CN"/>
        </w:rPr>
      </w:pP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816</w:t>
      </w:r>
      <w:r>
        <w:rPr>
          <w:rFonts w:ascii="Times New Roman" w:hAnsi="Times New Roman" w:eastAsia="黑体" w:cs="Times New Roman"/>
          <w:sz w:val="34"/>
          <w:szCs w:val="34"/>
        </w:rPr>
        <w:t>《运筹学</w:t>
      </w:r>
      <w:r>
        <w:rPr>
          <w:rFonts w:hint="eastAsia" w:ascii="Times New Roman" w:hAnsi="Times New Roman" w:eastAsia="黑体" w:cs="Times New Roman"/>
          <w:sz w:val="34"/>
          <w:szCs w:val="34"/>
          <w:lang w:eastAsia="zh-CN"/>
        </w:rPr>
        <w:t>》</w:t>
      </w:r>
    </w:p>
    <w:tbl>
      <w:tblPr>
        <w:tblStyle w:val="7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0024A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7BDEBAFE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02901D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2A300E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13E260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初试</w:t>
            </w:r>
          </w:p>
        </w:tc>
      </w:tr>
      <w:tr w14:paraId="4244C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78EA3A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012CA4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14:paraId="5E22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536EC9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6DF93805">
            <w:pPr>
              <w:rPr>
                <w:rFonts w:hint="default" w:ascii="Times New Roman" w:hAnsi="Times New Roman" w:cs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lang w:val="en-US" w:eastAsia="zh-CN"/>
              </w:rPr>
              <w:t>初试</w:t>
            </w:r>
          </w:p>
        </w:tc>
      </w:tr>
      <w:tr w14:paraId="1399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515C5E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464439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闭卷，考试时间为180分钟</w:t>
            </w:r>
          </w:p>
        </w:tc>
      </w:tr>
      <w:tr w14:paraId="37E3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781" w:type="dxa"/>
            <w:gridSpan w:val="4"/>
          </w:tcPr>
          <w:p w14:paraId="1F40452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  <w:p w14:paraId="1EE64A38">
            <w:pPr>
              <w:rPr>
                <w:rFonts w:ascii="Times New Roman" w:hAnsi="Times New Roman" w:cs="Times New Roman"/>
                <w:b/>
              </w:rPr>
            </w:pPr>
          </w:p>
        </w:tc>
      </w:tr>
      <w:tr w14:paraId="63D9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9781" w:type="dxa"/>
            <w:gridSpan w:val="4"/>
          </w:tcPr>
          <w:p w14:paraId="4F928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553E7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第一部分  线性规划及单纯形法</w:t>
            </w:r>
          </w:p>
          <w:p w14:paraId="18B34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1.理解线性规划问题的意义，能够建立有关实际线性规划问题的线性规划模型；</w:t>
            </w:r>
          </w:p>
          <w:p w14:paraId="35BBC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2.能将一般线性规划模型化为标准形式，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会用图解法求解二维线性规划问题</w:t>
            </w:r>
            <w:r>
              <w:rPr>
                <w:rFonts w:ascii="Times New Roman" w:hAnsi="Times New Roman" w:cs="Times New Roman"/>
              </w:rPr>
              <w:t>；</w:t>
            </w:r>
          </w:p>
          <w:p w14:paraId="583AA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掌握线性规划的解及其性质，</w:t>
            </w:r>
            <w:r>
              <w:rPr>
                <w:rFonts w:ascii="Times New Roman" w:hAnsi="Times New Roman" w:cs="Times New Roman"/>
              </w:rPr>
              <w:t>理解线性规划的可行解、基可行解与可行区域概念；</w:t>
            </w:r>
          </w:p>
          <w:p w14:paraId="60134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4.掌握初始基可行解的确定，最优性检验与解的判别，基变换与迭代；</w:t>
            </w:r>
          </w:p>
          <w:p w14:paraId="2B0A2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5.掌握单纯形表与计算步骤，人工变量法（大M法）；</w:t>
            </w:r>
          </w:p>
          <w:p w14:paraId="40071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6.掌握单纯形法的几种特殊情况：无可行解、无界解、无穷多最优解、退化问题；</w:t>
            </w:r>
          </w:p>
          <w:p w14:paraId="4C9C8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7.了解线性规划在工商管理中的应用领域，会建立简单的应用模型。</w:t>
            </w:r>
          </w:p>
          <w:p w14:paraId="46952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第二部分  对偶理论与灵敏度分析</w:t>
            </w:r>
          </w:p>
          <w:p w14:paraId="74D61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1.了解单纯形法的矩阵描述；</w:t>
            </w:r>
          </w:p>
          <w:p w14:paraId="330A7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2.理解对偶问题的相关概念和理论；</w:t>
            </w:r>
          </w:p>
          <w:p w14:paraId="7996C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知道原问题与对偶问题的关系，</w:t>
            </w:r>
            <w:r>
              <w:rPr>
                <w:rFonts w:ascii="Times New Roman" w:hAnsi="Times New Roman" w:cs="Times New Roman"/>
              </w:rPr>
              <w:t>能写出一般线性规划模型的对偶模型；</w:t>
            </w:r>
          </w:p>
          <w:p w14:paraId="7CC02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4.理解对偶问题的经济解释和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影子价格的经济含义</w:t>
            </w:r>
            <w:r>
              <w:rPr>
                <w:rFonts w:ascii="Times New Roman" w:hAnsi="Times New Roman" w:cs="Times New Roman"/>
              </w:rPr>
              <w:t>；</w:t>
            </w:r>
          </w:p>
          <w:p w14:paraId="7644D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5.会作价值系数与资源量以及技术系数的灵敏度分析，以及其它形式的约束条件变化的灵敏度分析；</w:t>
            </w:r>
          </w:p>
          <w:p w14:paraId="2C30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6.掌握对偶单纯形法。</w:t>
            </w:r>
          </w:p>
          <w:p w14:paraId="74C1F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第三部分  运输问题</w:t>
            </w:r>
          </w:p>
          <w:p w14:paraId="69AEF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1.了解什么是运输问题，能够建立实际运输问题的数学模型；</w:t>
            </w:r>
          </w:p>
          <w:p w14:paraId="095D4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2.掌握表上作业法，能采用西北角法、最小元素法或伏格法等求出运输问题的初始解，能采用闭回路法或位势法计算检验数，能用闭回路调整法改进运输方案；</w:t>
            </w:r>
          </w:p>
          <w:p w14:paraId="55FAA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3.会求解产销平衡及产销不平衡的运输问题。</w:t>
            </w:r>
          </w:p>
          <w:p w14:paraId="7CA01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第四部分  整数规划</w:t>
            </w:r>
          </w:p>
          <w:p w14:paraId="51E90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1.了解整数规划概念；</w:t>
            </w:r>
          </w:p>
          <w:p w14:paraId="4CC19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2.了解整数规划的图解法与分枝定界法；</w:t>
            </w:r>
          </w:p>
          <w:p w14:paraId="4796B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3.会用匈牙利算法求解指派问题。</w:t>
            </w:r>
          </w:p>
          <w:p w14:paraId="099E1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第五部分  动态规划</w:t>
            </w:r>
          </w:p>
          <w:p w14:paraId="1F821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1.了解动态规划的基本概念；</w:t>
            </w:r>
          </w:p>
          <w:p w14:paraId="01A9E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2.掌握动态规划模型的建立和求解方法；</w:t>
            </w:r>
          </w:p>
          <w:p w14:paraId="307C9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3.理解动态规划和静态规划的关系；</w:t>
            </w:r>
          </w:p>
          <w:p w14:paraId="2AA4D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4.会求解最短路线问题、资源分配问题、背包问题。</w:t>
            </w:r>
          </w:p>
          <w:p w14:paraId="25478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第六部分图与网络分析</w:t>
            </w:r>
          </w:p>
          <w:p w14:paraId="34D70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1.了解图与网络的基本概念；</w:t>
            </w:r>
          </w:p>
          <w:p w14:paraId="2342F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2.理解树、最小生成树、最大流等概念；</w:t>
            </w:r>
          </w:p>
          <w:p w14:paraId="129CB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3.会求解最短路问题、最小生成树问题、最大流问题、最小费用最大流问题。</w:t>
            </w:r>
          </w:p>
          <w:p w14:paraId="6779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14:paraId="431A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36FFB5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参考书目</w:t>
            </w:r>
          </w:p>
          <w:p w14:paraId="0B305F4D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</w:rPr>
              <w:t>《管理运筹学》（第五版），韩柏棠，高等教育出版社，ISBN：9787040527230</w:t>
            </w:r>
          </w:p>
        </w:tc>
      </w:tr>
      <w:tr w14:paraId="2B6D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0EC3C9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  <w:p w14:paraId="0F7D4F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</w:tc>
      </w:tr>
    </w:tbl>
    <w:p w14:paraId="073D77AD">
      <w:pPr>
        <w:rPr>
          <w:rFonts w:ascii="Times New Roman" w:hAnsi="Times New Roman" w:cs="Times New Roman"/>
        </w:rPr>
      </w:pPr>
    </w:p>
    <w:p w14:paraId="41F5BF0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5C3A84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815</w:t>
      </w:r>
      <w:r>
        <w:rPr>
          <w:rFonts w:ascii="Times New Roman" w:hAnsi="Times New Roman" w:eastAsia="黑体" w:cs="Times New Roman"/>
          <w:sz w:val="34"/>
          <w:szCs w:val="34"/>
        </w:rPr>
        <w:t>《</w:t>
      </w:r>
      <w:r>
        <w:rPr>
          <w:rFonts w:hint="eastAsia" w:ascii="Times New Roman" w:hAnsi="Times New Roman" w:eastAsia="黑体" w:cs="Times New Roman"/>
          <w:sz w:val="34"/>
          <w:szCs w:val="34"/>
        </w:rPr>
        <w:t>经济学基础</w:t>
      </w:r>
      <w:r>
        <w:rPr>
          <w:rFonts w:ascii="Times New Roman" w:hAnsi="Times New Roman" w:eastAsia="黑体" w:cs="Times New Roman"/>
          <w:sz w:val="34"/>
          <w:szCs w:val="34"/>
        </w:rPr>
        <w:t>》</w:t>
      </w:r>
    </w:p>
    <w:tbl>
      <w:tblPr>
        <w:tblStyle w:val="7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606BB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28FB8D70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7DC437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0728CD0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24C93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初试</w:t>
            </w:r>
          </w:p>
        </w:tc>
      </w:tr>
      <w:tr w14:paraId="2337F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572099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5D9D8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14:paraId="0C20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51A0AF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55BA9E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初试</w:t>
            </w:r>
          </w:p>
        </w:tc>
      </w:tr>
      <w:tr w14:paraId="070A4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81" w:type="dxa"/>
            <w:gridSpan w:val="4"/>
          </w:tcPr>
          <w:p w14:paraId="362667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69A8044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闭卷</w:t>
            </w:r>
            <w:r>
              <w:rPr>
                <w:rFonts w:hint="eastAsia" w:ascii="Times New Roman" w:hAnsi="Times New Roman" w:cs="Times New Roman"/>
                <w:b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b/>
              </w:rPr>
              <w:t>考试时间为180分钟</w:t>
            </w:r>
          </w:p>
        </w:tc>
      </w:tr>
      <w:tr w14:paraId="17D9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1616E2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  <w:p w14:paraId="31FD33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试卷采用客观题和主观题相结合的形式，题型包括选择题、名词解释、简答题、计算题，论述题等。</w:t>
            </w:r>
          </w:p>
        </w:tc>
      </w:tr>
      <w:tr w14:paraId="2380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9781" w:type="dxa"/>
            <w:gridSpan w:val="4"/>
          </w:tcPr>
          <w:p w14:paraId="3270C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58BCB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1</w:t>
            </w:r>
            <w:r>
              <w:rPr>
                <w:rFonts w:ascii="Times New Roman" w:hAnsi="Times New Roman" w:eastAsia="宋体" w:cs="Times New Roman"/>
                <w:b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</w:rPr>
              <w:t>导论</w:t>
            </w:r>
          </w:p>
          <w:p w14:paraId="68FCD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：经济学的定义、</w:t>
            </w:r>
            <w:r>
              <w:rPr>
                <w:rFonts w:hint="eastAsia" w:ascii="Times New Roman" w:hAnsi="Times New Roman" w:cs="Times New Roman"/>
              </w:rPr>
              <w:t>经济学十大原理；</w:t>
            </w:r>
            <w:r>
              <w:rPr>
                <w:rFonts w:ascii="Times New Roman" w:hAnsi="Times New Roman" w:cs="Times New Roman"/>
              </w:rPr>
              <w:t>微观经济学</w:t>
            </w:r>
            <w:r>
              <w:rPr>
                <w:rFonts w:hint="eastAsia" w:ascii="Times New Roman" w:hAnsi="Times New Roman" w:cs="Times New Roman"/>
              </w:rPr>
              <w:t>与</w:t>
            </w:r>
            <w:r>
              <w:rPr>
                <w:rFonts w:ascii="Times New Roman" w:hAnsi="Times New Roman" w:cs="Times New Roman"/>
              </w:rPr>
              <w:t>宏观经济学、规范经济学</w:t>
            </w:r>
            <w:r>
              <w:rPr>
                <w:rFonts w:hint="eastAsia" w:ascii="Times New Roman" w:hAnsi="Times New Roman" w:cs="Times New Roman"/>
              </w:rPr>
              <w:t>与</w:t>
            </w:r>
            <w:r>
              <w:rPr>
                <w:rFonts w:ascii="Times New Roman" w:hAnsi="Times New Roman" w:cs="Times New Roman"/>
              </w:rPr>
              <w:t>实证经济学、流量与存量</w:t>
            </w:r>
            <w:r>
              <w:rPr>
                <w:rFonts w:hint="eastAsia" w:ascii="Times New Roman" w:hAnsi="Times New Roman" w:cs="Times New Roman"/>
              </w:rPr>
              <w:t>；相互依存的好处。</w:t>
            </w:r>
          </w:p>
          <w:p w14:paraId="5262E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：稀缺性、机会成本、</w:t>
            </w:r>
            <w:r>
              <w:rPr>
                <w:rFonts w:hint="eastAsia" w:ascii="Times New Roman" w:hAnsi="Times New Roman" w:cs="Times New Roman"/>
              </w:rPr>
              <w:t>边际量、</w:t>
            </w:r>
            <w:r>
              <w:rPr>
                <w:rFonts w:ascii="Times New Roman" w:hAnsi="Times New Roman" w:cs="Times New Roman"/>
              </w:rPr>
              <w:t>生产</w:t>
            </w:r>
            <w:r>
              <w:rPr>
                <w:rFonts w:hint="eastAsia" w:ascii="Times New Roman" w:hAnsi="Times New Roman" w:cs="Times New Roman"/>
              </w:rPr>
              <w:t>可能性曲线、</w:t>
            </w:r>
            <w:r>
              <w:rPr>
                <w:rFonts w:ascii="Times New Roman" w:hAnsi="Times New Roman" w:cs="Times New Roman"/>
              </w:rPr>
              <w:t>西方经济学的基本假设、经济学研究的基本方法</w:t>
            </w:r>
          </w:p>
          <w:p w14:paraId="5ABA9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稀缺性、机会成本和边际量的实际应用</w:t>
            </w:r>
          </w:p>
          <w:p w14:paraId="001CC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2</w:t>
            </w:r>
            <w:r>
              <w:rPr>
                <w:rFonts w:ascii="Times New Roman" w:hAnsi="Times New Roman" w:eastAsia="宋体" w:cs="Times New Roman"/>
                <w:b/>
              </w:rPr>
              <w:t>.供求原理及其应用</w:t>
            </w:r>
          </w:p>
          <w:p w14:paraId="51E42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：需求、需求变动与需求量变动、供给、供给变动与供给量变动、均衡价格与均衡数量、市场供给、限制价格、弹性定义、需求的价格弹性、供给的价格弹性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：供求定理、均衡价格的形成及条件，需求与供给的影响因素</w:t>
            </w:r>
          </w:p>
          <w:p w14:paraId="2E157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：描绘供给和需求曲线、计算价格弹性和交叉弹性、运用本章所学供求原理分析政府干预市场的效果</w:t>
            </w:r>
          </w:p>
          <w:p w14:paraId="03D00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/>
              <w:textAlignment w:val="auto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</w:rPr>
              <w:t>3.消费者</w:t>
            </w:r>
            <w:r>
              <w:rPr>
                <w:rFonts w:hint="eastAsia" w:ascii="Times New Roman" w:hAnsi="Times New Roman" w:eastAsia="宋体" w:cs="Times New Roman"/>
                <w:b/>
              </w:rPr>
              <w:t>选择</w:t>
            </w:r>
            <w:r>
              <w:rPr>
                <w:rFonts w:ascii="Times New Roman" w:hAnsi="Times New Roman" w:eastAsia="宋体" w:cs="Times New Roman"/>
                <w:b/>
              </w:rPr>
              <w:t>理论</w:t>
            </w:r>
          </w:p>
          <w:p w14:paraId="6164E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：效用、总效用、边际效用、商品的收入效应和替代效应、消费者均衡</w:t>
            </w:r>
          </w:p>
          <w:p w14:paraId="0D0EB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：基数效用论、序数效用论、消费者均衡的形成及条件、需求规律的成因</w:t>
            </w:r>
          </w:p>
          <w:p w14:paraId="1E3AB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：描绘消费者剩余曲线，运用消费者行为与需求定理的关系分析消费者的选择行为；消费者均衡的计算</w:t>
            </w:r>
          </w:p>
          <w:p w14:paraId="1F8E4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>4.</w:t>
            </w:r>
            <w:r>
              <w:rPr>
                <w:rFonts w:hint="eastAsia" w:ascii="Times New Roman" w:hAnsi="Times New Roman" w:eastAsia="宋体" w:cs="Times New Roman"/>
                <w:b/>
              </w:rPr>
              <w:t>生产者选择</w:t>
            </w:r>
            <w:r>
              <w:rPr>
                <w:rFonts w:ascii="Times New Roman" w:hAnsi="Times New Roman" w:eastAsia="宋体" w:cs="Times New Roman"/>
                <w:b/>
              </w:rPr>
              <w:t>理论</w:t>
            </w:r>
          </w:p>
          <w:p w14:paraId="6C9EF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：固定投入、变动投入、技术系数、等成本线、等产量曲线</w:t>
            </w:r>
            <w:r>
              <w:rPr>
                <w:rFonts w:hint="eastAsia" w:ascii="Times New Roman" w:hAnsi="Times New Roman" w:cs="Times New Roman"/>
              </w:rPr>
              <w:t>；</w:t>
            </w:r>
            <w:r>
              <w:rPr>
                <w:rFonts w:ascii="Times New Roman" w:hAnsi="Times New Roman" w:cs="Times New Roman"/>
              </w:rPr>
              <w:t>显成本、隐成本、短期成本、长期成本、收益、利润、学习效应、停止营业点</w:t>
            </w:r>
          </w:p>
          <w:p w14:paraId="01104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：生产函数</w:t>
            </w:r>
            <w:r>
              <w:rPr>
                <w:rFonts w:hint="eastAsia" w:ascii="Times New Roman" w:hAnsi="Times New Roman" w:cs="Times New Roman"/>
              </w:rPr>
              <w:t>的定义和类型</w:t>
            </w:r>
            <w:r>
              <w:rPr>
                <w:rFonts w:ascii="Times New Roman" w:hAnsi="Times New Roman" w:cs="Times New Roman"/>
              </w:rPr>
              <w:t>、边际报酬递减规律、最优投入组合、规模报酬</w:t>
            </w:r>
            <w:r>
              <w:rPr>
                <w:rFonts w:hint="eastAsia" w:ascii="Times New Roman" w:hAnsi="Times New Roman" w:cs="Times New Roman"/>
              </w:rPr>
              <w:t>；各种成本内涵和模型、</w:t>
            </w:r>
            <w:r>
              <w:rPr>
                <w:rFonts w:ascii="Times New Roman" w:hAnsi="Times New Roman" w:cs="Times New Roman"/>
              </w:rPr>
              <w:t>短期产量与短期成本的关系、影响长期平均成本的因素</w:t>
            </w:r>
          </w:p>
          <w:p w14:paraId="70EDF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：运用最优投入组合、规模报酬原理分析厂商行为</w:t>
            </w:r>
          </w:p>
          <w:p w14:paraId="6AA46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>5.市场结构理论</w:t>
            </w:r>
          </w:p>
          <w:p w14:paraId="4E87A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：完全竞争及条件、完全垄断及条件、垄断竞争、寡头</w:t>
            </w:r>
          </w:p>
          <w:p w14:paraId="58390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：完全竞争条件下的短期均衡与长期均衡、完全垄断下的短期均衡与长期均衡、垄断竞争条件下的短期均衡与长期均衡</w:t>
            </w:r>
          </w:p>
          <w:p w14:paraId="29421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：运用完全竞争和垄断理论计算其短期和长期均衡位置、价格歧视政策的运用</w:t>
            </w:r>
          </w:p>
          <w:p w14:paraId="77A34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6.市场失灵和微观经济政策</w:t>
            </w:r>
          </w:p>
          <w:p w14:paraId="6FD11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掌握：介绍市场失灵的原因和应对措施</w:t>
            </w:r>
          </w:p>
          <w:p w14:paraId="4164A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理解：市场失灵的表现、公共产品的特征和分类以及信息不对称的表现，外部性的含义</w:t>
            </w:r>
          </w:p>
          <w:p w14:paraId="53EEE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熟悉：理解政府微观经济政策的职能和微观经济政策的内容</w:t>
            </w:r>
          </w:p>
          <w:p w14:paraId="7C7B8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jc w:val="left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7</w:t>
            </w:r>
            <w:r>
              <w:rPr>
                <w:rFonts w:ascii="Times New Roman" w:hAnsi="Times New Roman" w:eastAsia="宋体" w:cs="Times New Roman"/>
                <w:b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</w:rPr>
              <w:t>宏观经济学基础数据</w:t>
            </w:r>
          </w:p>
          <w:p w14:paraId="35FB1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：国民生产总值、</w:t>
            </w:r>
            <w:r>
              <w:rPr>
                <w:rFonts w:hint="eastAsia" w:ascii="Times New Roman" w:hAnsi="Times New Roman" w:cs="Times New Roman"/>
              </w:rPr>
              <w:t>消费者价格指数、</w:t>
            </w:r>
            <w:r>
              <w:rPr>
                <w:rFonts w:ascii="Times New Roman" w:hAnsi="Times New Roman" w:cs="Times New Roman"/>
              </w:rPr>
              <w:t>失业</w:t>
            </w:r>
            <w:r>
              <w:rPr>
                <w:rFonts w:hint="eastAsia" w:ascii="Times New Roman" w:hAnsi="Times New Roman" w:cs="Times New Roman"/>
              </w:rPr>
              <w:t>、通货膨胀</w:t>
            </w:r>
          </w:p>
          <w:p w14:paraId="448E1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国民收入内涵及构成、生活费用的衡量、</w:t>
            </w:r>
            <w:r>
              <w:rPr>
                <w:rFonts w:ascii="Times New Roman" w:hAnsi="Times New Roman" w:cs="Times New Roman"/>
              </w:rPr>
              <w:t>失业</w:t>
            </w:r>
            <w:r>
              <w:rPr>
                <w:rFonts w:hint="eastAsia" w:ascii="Times New Roman" w:hAnsi="Times New Roman" w:cs="Times New Roman"/>
              </w:rPr>
              <w:t>的类型、通货膨胀理论</w:t>
            </w:r>
          </w:p>
          <w:p w14:paraId="21CCB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：运用收入、支出、或者生产指标计算国民收入</w:t>
            </w:r>
            <w:r>
              <w:rPr>
                <w:rFonts w:hint="eastAsia" w:ascii="Times New Roman" w:hAnsi="Times New Roman" w:cs="Times New Roman"/>
              </w:rPr>
              <w:t>、GDP和CPI的理解</w:t>
            </w:r>
          </w:p>
          <w:p w14:paraId="0D804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jc w:val="left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8.国民收入的决定</w:t>
            </w:r>
          </w:p>
          <w:p w14:paraId="2DC2E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jc w:val="left"/>
              <w:textAlignment w:val="auto"/>
              <w:rPr>
                <w:rFonts w:ascii="Times New Roman" w:hAnsi="Times New Roman" w:eastAsia="宋体" w:cs="Times New Roman"/>
                <w:bCs/>
              </w:rPr>
            </w:pPr>
            <w:r>
              <w:rPr>
                <w:rFonts w:hint="eastAsia" w:ascii="Times New Roman" w:hAnsi="Times New Roman" w:eastAsia="宋体" w:cs="Times New Roman"/>
                <w:bCs/>
              </w:rPr>
              <w:t>掌握：乘数原理、四部门经济的乘数的推导及计算、IS曲线和LM曲线的计算</w:t>
            </w:r>
          </w:p>
          <w:p w14:paraId="6B0C3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jc w:val="left"/>
              <w:textAlignment w:val="auto"/>
              <w:rPr>
                <w:rFonts w:ascii="Times New Roman" w:hAnsi="Times New Roman" w:eastAsia="宋体" w:cs="Times New Roman"/>
                <w:bCs/>
              </w:rPr>
            </w:pPr>
            <w:r>
              <w:rPr>
                <w:rFonts w:hint="eastAsia" w:ascii="Times New Roman" w:hAnsi="Times New Roman" w:eastAsia="宋体" w:cs="Times New Roman"/>
                <w:bCs/>
              </w:rPr>
              <w:t>理解：市场经济下宏观经济各部分的循环流程、均衡国民收入决定的基本方向、IS 曲线的推导、LM 曲线的推导</w:t>
            </w:r>
          </w:p>
          <w:p w14:paraId="410BD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jc w:val="left"/>
              <w:textAlignment w:val="auto"/>
              <w:rPr>
                <w:rFonts w:ascii="Times New Roman" w:hAnsi="Times New Roman" w:eastAsia="宋体" w:cs="Times New Roman"/>
                <w:bCs/>
              </w:rPr>
            </w:pPr>
            <w:r>
              <w:rPr>
                <w:rFonts w:hint="eastAsia" w:ascii="Times New Roman" w:hAnsi="Times New Roman" w:eastAsia="宋体" w:cs="Times New Roman"/>
                <w:bCs/>
              </w:rPr>
              <w:t>熟悉：有效需求的原理、需求的动机、流动性陷阱、IS-LM 均衡不同区域的经济含义</w:t>
            </w:r>
          </w:p>
          <w:p w14:paraId="5EA8C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jc w:val="left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9</w:t>
            </w:r>
            <w:r>
              <w:rPr>
                <w:rFonts w:ascii="Times New Roman" w:hAnsi="Times New Roman" w:eastAsia="宋体" w:cs="Times New Roman"/>
                <w:b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</w:rPr>
              <w:t>长期经济增长</w:t>
            </w:r>
          </w:p>
          <w:p w14:paraId="03F4F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长期经济增长</w:t>
            </w:r>
            <w:r>
              <w:rPr>
                <w:rFonts w:ascii="Times New Roman" w:hAnsi="Times New Roman" w:cs="Times New Roman"/>
              </w:rPr>
              <w:t>、</w:t>
            </w:r>
            <w:r>
              <w:rPr>
                <w:rFonts w:hint="eastAsia" w:ascii="Times New Roman" w:hAnsi="Times New Roman" w:cs="Times New Roman"/>
              </w:rPr>
              <w:t>储蓄和投资、金融工具和国家货币制度</w:t>
            </w:r>
          </w:p>
          <w:p w14:paraId="2682E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：哈罗德—多马模型、新古典模型、人力资本的形成途径、新经济增长模型</w:t>
            </w:r>
            <w:r>
              <w:rPr>
                <w:rFonts w:hint="eastAsia" w:ascii="Times New Roman" w:hAnsi="Times New Roman" w:cs="Times New Roman"/>
              </w:rPr>
              <w:t>、</w:t>
            </w:r>
            <w:r>
              <w:rPr>
                <w:rFonts w:ascii="Times New Roman" w:hAnsi="Times New Roman" w:cs="Times New Roman"/>
              </w:rPr>
              <w:t>封闭</w:t>
            </w:r>
            <w:r>
              <w:rPr>
                <w:rFonts w:hint="eastAsia" w:ascii="Times New Roman" w:hAnsi="Times New Roman" w:cs="Times New Roman"/>
              </w:rPr>
              <w:t>经济国民收入的构成</w:t>
            </w:r>
          </w:p>
          <w:p w14:paraId="29E3D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：运用不同的经济增长模型分析影响经济增长的因素</w:t>
            </w:r>
            <w:r>
              <w:rPr>
                <w:rFonts w:hint="eastAsia" w:ascii="Times New Roman" w:hAnsi="Times New Roman" w:cs="Times New Roman"/>
              </w:rPr>
              <w:t>、</w:t>
            </w:r>
            <w:r>
              <w:rPr>
                <w:rFonts w:ascii="Times New Roman" w:hAnsi="Times New Roman" w:cs="Times New Roman"/>
              </w:rPr>
              <w:t>政府干预的挤出效应</w:t>
            </w:r>
          </w:p>
          <w:p w14:paraId="2E16F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jc w:val="left"/>
              <w:textAlignment w:val="auto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10</w:t>
            </w:r>
            <w:r>
              <w:rPr>
                <w:rFonts w:ascii="Times New Roman" w:hAnsi="Times New Roman" w:eastAsia="宋体" w:cs="Times New Roman"/>
                <w:b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</w:rPr>
              <w:t>短期经济波动</w:t>
            </w:r>
          </w:p>
          <w:p w14:paraId="5BEA5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经济周期、</w:t>
            </w:r>
            <w:r>
              <w:rPr>
                <w:rFonts w:ascii="Times New Roman" w:hAnsi="Times New Roman" w:cs="Times New Roman"/>
              </w:rPr>
              <w:t>总需求、总供给、货币政策、财政政策</w:t>
            </w:r>
          </w:p>
          <w:p w14:paraId="3FA73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影响总需求和总供给的因素和表现形式、</w:t>
            </w:r>
            <w:r>
              <w:rPr>
                <w:rFonts w:ascii="Times New Roman" w:hAnsi="Times New Roman" w:cs="Times New Roman"/>
              </w:rPr>
              <w:t>财政政策与货币政策工具</w:t>
            </w:r>
          </w:p>
          <w:p w14:paraId="32E3C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经济短期波动的模型分析，</w:t>
            </w:r>
            <w:r>
              <w:rPr>
                <w:rFonts w:ascii="Times New Roman" w:hAnsi="Times New Roman" w:cs="Times New Roman"/>
              </w:rPr>
              <w:t>政府宏观经济政策的目标及其实施途径</w:t>
            </w:r>
          </w:p>
          <w:p w14:paraId="7F6EC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</w:p>
          <w:p w14:paraId="7A962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14:paraId="6488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0EB509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参考书目</w:t>
            </w:r>
          </w:p>
          <w:p w14:paraId="0A952FA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《西方经济学（第二版）》上册，《西方经济学》编写组，高等教育出版社、人民出版社，2019 年 9 月，ISBN：9787040525533</w:t>
            </w:r>
          </w:p>
          <w:p w14:paraId="17D9A181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hint="eastAsia" w:ascii="Times New Roman" w:hAnsi="Times New Roman" w:cs="Times New Roman"/>
              </w:rPr>
              <w:t>《西方经济学（第二版）》下册，《西方经济学》编写组，高等教育出版社、人民出版社，2019 年 9 月，ISBN：9787040525540</w:t>
            </w:r>
          </w:p>
        </w:tc>
      </w:tr>
      <w:tr w14:paraId="53F86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3F86A72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  <w:p w14:paraId="5E1DC22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</w:tc>
      </w:tr>
    </w:tbl>
    <w:p w14:paraId="79E6C0F6"/>
    <w:p w14:paraId="0718308C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F111</w:t>
      </w:r>
      <w:r>
        <w:rPr>
          <w:rFonts w:ascii="Times New Roman" w:hAnsi="Times New Roman" w:eastAsia="黑体" w:cs="Times New Roman"/>
          <w:sz w:val="34"/>
          <w:szCs w:val="34"/>
        </w:rPr>
        <w:t>《管理学》</w:t>
      </w:r>
    </w:p>
    <w:tbl>
      <w:tblPr>
        <w:tblStyle w:val="7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42DC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338AFC80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31F9F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75192C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322E7184">
            <w:pPr>
              <w:rPr>
                <w:rFonts w:hint="eastAsia" w:ascii="Times New Roman" w:hAnsi="Times New Roman" w:cs="Times New Roman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lang w:val="en-US" w:eastAsia="zh-CN"/>
              </w:rPr>
              <w:t>复试</w:t>
            </w:r>
          </w:p>
        </w:tc>
      </w:tr>
      <w:tr w14:paraId="7896C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2D043E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3B28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14:paraId="0885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24FF18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26DC8D3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复试</w:t>
            </w:r>
          </w:p>
        </w:tc>
      </w:tr>
      <w:tr w14:paraId="1DB2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7EE734BA">
            <w:pPr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考试方式和考试时间</w:t>
            </w:r>
          </w:p>
          <w:p w14:paraId="0B6472BF">
            <w:pPr>
              <w:rPr>
                <w:rFonts w:hint="default" w:ascii="Times New Roman" w:hAnsi="Times New Roman" w:cs="Times New Roman" w:eastAsiaTheme="minorEastAsia"/>
                <w:b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闭卷</w:t>
            </w:r>
            <w:r>
              <w:rPr>
                <w:rFonts w:hint="eastAsia" w:ascii="Times New Roman" w:hAnsi="Times New Roman" w:cs="Times New Roman"/>
                <w:b/>
                <w:bCs/>
              </w:rPr>
              <w:t>，考试时间为1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</w:rPr>
              <w:t>分钟</w:t>
            </w:r>
          </w:p>
        </w:tc>
      </w:tr>
      <w:tr w14:paraId="654D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2BDE440F">
            <w:pPr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试卷结构</w:t>
            </w:r>
          </w:p>
          <w:p w14:paraId="31A876A9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新宋体" w:cs="Times New Roman"/>
                <w:color w:val="333333"/>
                <w:kern w:val="0"/>
                <w:szCs w:val="21"/>
              </w:rPr>
              <w:t>试卷采用客观题和主观题相结合的形式，题型主要包括选择题、简答题、论述题和案例分析题等。</w:t>
            </w:r>
          </w:p>
        </w:tc>
      </w:tr>
      <w:tr w14:paraId="3835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0" w:hRule="atLeast"/>
        </w:trPr>
        <w:tc>
          <w:tcPr>
            <w:tcW w:w="9781" w:type="dxa"/>
            <w:gridSpan w:val="4"/>
          </w:tcPr>
          <w:p w14:paraId="2F26F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基本要求和考试范围</w:t>
            </w:r>
          </w:p>
          <w:p w14:paraId="634408C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考试的基本要求：</w:t>
            </w:r>
            <w:r>
              <w:rPr>
                <w:rFonts w:ascii="Segoe UI" w:hAnsi="Segoe UI" w:cs="Segoe UI"/>
                <w:shd w:val="clear" w:color="auto" w:fill="FFFFFF"/>
              </w:rPr>
              <w:t>考察考生理论联系实践的分析能力，要求其掌握管理学基本概念、理论及分析方法，具备系统研究与逻辑推理能力，能灵活运用理论分析管理实践问题并提出解决方案。</w:t>
            </w:r>
          </w:p>
          <w:p w14:paraId="6030A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二、考试具体内容范围：</w:t>
            </w:r>
          </w:p>
          <w:p w14:paraId="1E23009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textAlignment w:val="auto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1.管理的基本概念；</w:t>
            </w:r>
          </w:p>
          <w:p w14:paraId="43C9A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2.管理理论的形成和发展过程，包括：管理思想演变的过程、不同管理理论学派的主要观点；</w:t>
            </w:r>
          </w:p>
          <w:p w14:paraId="3AB4C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3.决策理论、决策过程和决策方法；</w:t>
            </w:r>
          </w:p>
          <w:p w14:paraId="4B989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4.计划类型，战略计划，计划工作的步骤、目标管理；</w:t>
            </w:r>
          </w:p>
          <w:p w14:paraId="62EFE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5.组织相关理论内容，包括：组织的概念、组织设计的传统原则和动态原则、组织设计的权变理论、组织设计的任务、组织结构的类型、组织变革等；</w:t>
            </w:r>
          </w:p>
          <w:p w14:paraId="0617B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6.领导相关理论内容，包括领导内涵、领导理论、领导类型等。</w:t>
            </w:r>
          </w:p>
          <w:p w14:paraId="59738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7.控制相关理论内容，包括控制过程，掌握控制方法；</w:t>
            </w:r>
          </w:p>
          <w:p w14:paraId="05BEA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8.激励相关理论内容，包括激励的概念、各种激励理论的主要观点、激励模式的设计等；</w:t>
            </w:r>
          </w:p>
          <w:p w14:paraId="65AD5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9.全球化与管理、人工智能时代的管理；</w:t>
            </w:r>
          </w:p>
          <w:p w14:paraId="3E74E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10.管理学研究基本范式、研究方法等。</w:t>
            </w:r>
          </w:p>
          <w:p w14:paraId="5D259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kern w:val="0"/>
              </w:rPr>
              <w:t>考试的基本要求：要求考生理解并掌握管理的基本概念和基本职能，掌握管理学基本理论与基本方法。要求考生比较系统地掌握管理的基本技能和基本实务，具有一定的系统研究能力、逻辑推理能力，以及</w:t>
            </w:r>
            <w:r>
              <w:rPr>
                <w:rFonts w:ascii="Times New Roman" w:hAnsi="Times New Roman" w:cs="Times New Roman"/>
              </w:rPr>
              <w:t>能够综合运用管理理论分析工商业管理实践问题并提出解决方案。</w:t>
            </w:r>
          </w:p>
        </w:tc>
      </w:tr>
      <w:tr w14:paraId="378E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4036006B">
            <w:pPr>
              <w:spacing w:line="320" w:lineRule="exac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参考书目</w:t>
            </w:r>
          </w:p>
          <w:p w14:paraId="4462C671"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《管理学</w:t>
            </w:r>
            <w:r>
              <w:rPr>
                <w:rFonts w:hint="eastAsia" w:ascii="Times New Roman" w:hAnsi="Times New Roman" w:cs="Times New Roman"/>
                <w:lang w:eastAsia="zh-CN"/>
              </w:rPr>
              <w:t>：</w:t>
            </w:r>
            <w:r>
              <w:rPr>
                <w:rFonts w:hint="eastAsia" w:ascii="Times New Roman" w:hAnsi="Times New Roman" w:cs="Times New Roman"/>
              </w:rPr>
              <w:t>原理与实践》（原书第10版）,斯蒂芬P.罗宾斯, 戴维. 机械工业出版社, 2019.</w:t>
            </w:r>
          </w:p>
          <w:p w14:paraId="17355C11"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《管理学》（马克思主义理论研究和建设工程重点教材）,《管理学》编写组, 高等教育出版社, 2019.</w:t>
            </w:r>
          </w:p>
          <w:p w14:paraId="70BAADAF">
            <w:pPr>
              <w:spacing w:line="320" w:lineRule="exac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《管理学：原理与方法》（第八版），周三多等，复旦大学出版社，2024.</w:t>
            </w:r>
          </w:p>
          <w:p w14:paraId="09610918">
            <w:pPr>
              <w:spacing w:line="320" w:lineRule="exact"/>
              <w:rPr>
                <w:rFonts w:ascii="Times New Roman" w:hAnsi="Times New Roman" w:cs="Times New Roman"/>
              </w:rPr>
            </w:pPr>
          </w:p>
        </w:tc>
      </w:tr>
      <w:tr w14:paraId="2513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781" w:type="dxa"/>
            <w:gridSpan w:val="4"/>
          </w:tcPr>
          <w:p w14:paraId="0F16DF20">
            <w:pPr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备注：</w:t>
            </w:r>
          </w:p>
          <w:p w14:paraId="39509C5C">
            <w:pPr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  <w:p w14:paraId="4B588800">
            <w:pPr>
              <w:rPr>
                <w:rFonts w:ascii="Times New Roman" w:hAnsi="Times New Roman" w:cs="Times New Roman"/>
                <w:b/>
                <w:sz w:val="20"/>
                <w:szCs w:val="21"/>
              </w:rPr>
            </w:pPr>
          </w:p>
        </w:tc>
      </w:tr>
    </w:tbl>
    <w:p w14:paraId="3B94F91F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F112</w:t>
      </w:r>
      <w:r>
        <w:rPr>
          <w:rFonts w:ascii="Times New Roman" w:hAnsi="Times New Roman" w:eastAsia="黑体" w:cs="Times New Roman"/>
          <w:sz w:val="34"/>
          <w:szCs w:val="34"/>
        </w:rPr>
        <w:t>《</w:t>
      </w:r>
      <w:r>
        <w:rPr>
          <w:rFonts w:hint="eastAsia" w:ascii="Times New Roman" w:hAnsi="Times New Roman" w:eastAsia="黑体" w:cs="Times New Roman"/>
          <w:sz w:val="34"/>
          <w:szCs w:val="34"/>
        </w:rPr>
        <w:t>数字经济基础</w:t>
      </w:r>
      <w:r>
        <w:rPr>
          <w:rFonts w:ascii="Times New Roman" w:hAnsi="Times New Roman" w:eastAsia="黑体" w:cs="Times New Roman"/>
          <w:sz w:val="34"/>
          <w:szCs w:val="34"/>
        </w:rPr>
        <w:t>》</w:t>
      </w:r>
    </w:p>
    <w:tbl>
      <w:tblPr>
        <w:tblStyle w:val="7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781FA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22EC40E3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30CCE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0293BA7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54632626">
            <w:pPr>
              <w:rPr>
                <w:rFonts w:hint="eastAsia" w:ascii="Times New Roman" w:hAnsi="Times New Roman" w:cs="Times New Roman" w:eastAsiaTheme="minorEastAsia"/>
                <w:color w:val="000000" w:themeColor="text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lang w:val="en-US" w:eastAsia="zh-CN"/>
              </w:rPr>
              <w:t>复试</w:t>
            </w:r>
          </w:p>
        </w:tc>
      </w:tr>
      <w:tr w14:paraId="32742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5B58A2A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037EA3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14:paraId="30EC4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2302A7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3905ECC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</w:rPr>
              <w:t>复试</w:t>
            </w:r>
          </w:p>
        </w:tc>
      </w:tr>
      <w:tr w14:paraId="6820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781" w:type="dxa"/>
            <w:gridSpan w:val="4"/>
          </w:tcPr>
          <w:p w14:paraId="463636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1BDC3DA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闭卷</w:t>
            </w:r>
            <w:r>
              <w:rPr>
                <w:rFonts w:hint="eastAsia" w:ascii="Times New Roman" w:hAnsi="Times New Roman" w:cs="Times New Roman"/>
                <w:b/>
                <w:bCs/>
              </w:rPr>
              <w:t>，考试时间为1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</w:rPr>
              <w:t>分钟</w:t>
            </w:r>
          </w:p>
        </w:tc>
      </w:tr>
      <w:tr w14:paraId="1A9F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781" w:type="dxa"/>
            <w:gridSpan w:val="4"/>
          </w:tcPr>
          <w:p w14:paraId="194B41E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  <w:p w14:paraId="0A345FFD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新宋体" w:cs="Times New Roman"/>
                <w:color w:val="333333"/>
                <w:szCs w:val="21"/>
              </w:rPr>
              <w:t>试卷采用客观题和主观题相结合的形式，题型包括简答题、论述题和案例分析题等。</w:t>
            </w:r>
          </w:p>
        </w:tc>
      </w:tr>
      <w:tr w14:paraId="42F2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0" w:hRule="atLeast"/>
        </w:trPr>
        <w:tc>
          <w:tcPr>
            <w:tcW w:w="9781" w:type="dxa"/>
            <w:gridSpan w:val="4"/>
          </w:tcPr>
          <w:p w14:paraId="482D3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基本要求和考试范围</w:t>
            </w:r>
          </w:p>
          <w:p w14:paraId="5344D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一、考试的基本要求：主要考察考生理论联系实践的分析能力。要求考生能够掌握</w:t>
            </w:r>
            <w:r>
              <w:rPr>
                <w:rFonts w:hint="eastAsia" w:ascii="Times New Roman" w:hAnsi="Times New Roman" w:cs="Times New Roman"/>
              </w:rPr>
              <w:t>数字经济相关</w:t>
            </w:r>
            <w:r>
              <w:rPr>
                <w:rFonts w:ascii="Times New Roman" w:hAnsi="Times New Roman" w:cs="Times New Roman"/>
              </w:rPr>
              <w:t>基本理论和相应的分析方法，能够灵活运用所学</w:t>
            </w:r>
            <w:r>
              <w:rPr>
                <w:rFonts w:hint="eastAsia" w:ascii="Times New Roman" w:hAnsi="Times New Roman" w:cs="Times New Roman"/>
              </w:rPr>
              <w:t>知识</w:t>
            </w:r>
            <w:r>
              <w:rPr>
                <w:rFonts w:ascii="Times New Roman" w:hAnsi="Times New Roman" w:cs="Times New Roman"/>
              </w:rPr>
              <w:t>分析解决现实问题。</w:t>
            </w:r>
          </w:p>
          <w:p w14:paraId="3B284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二、考试具体内容范围：</w:t>
            </w:r>
          </w:p>
          <w:p w14:paraId="0DF0C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hint="eastAsia" w:ascii="Times New Roman" w:hAnsi="Times New Roman" w:cs="Times New Roman"/>
                <w:b/>
              </w:rPr>
              <w:t>数字经济基础概念</w:t>
            </w:r>
          </w:p>
          <w:p w14:paraId="6D85E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掌握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数字经济的定义与内涵、关键生产要素的变迁</w:t>
            </w:r>
            <w:r>
              <w:rPr>
                <w:rFonts w:ascii="Times New Roman" w:hAnsi="Times New Roman" w:cs="Times New Roman"/>
              </w:rPr>
              <w:t>、</w:t>
            </w:r>
            <w:r>
              <w:rPr>
                <w:rFonts w:hint="eastAsia" w:ascii="Times New Roman" w:hAnsi="Times New Roman" w:cs="Times New Roman"/>
              </w:rPr>
              <w:t>数字经济的统计测度等</w:t>
            </w:r>
          </w:p>
          <w:p w14:paraId="0CA72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理解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数字产业化、产业数字化的发展的理论逻辑与现实路径等</w:t>
            </w:r>
          </w:p>
          <w:p w14:paraId="44B7A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熟悉</w:t>
            </w:r>
            <w:r>
              <w:rPr>
                <w:rFonts w:ascii="Times New Roman" w:hAnsi="Times New Roman" w:cs="Times New Roman"/>
              </w:rPr>
              <w:t>：</w:t>
            </w:r>
            <w:r>
              <w:rPr>
                <w:rFonts w:hint="eastAsia" w:ascii="Times New Roman" w:hAnsi="Times New Roman" w:cs="Times New Roman"/>
              </w:rPr>
              <w:t>数字经济的主要经济技术特征，数字技术创新与经济社会数字化转型发展的关系等</w:t>
            </w:r>
          </w:p>
          <w:p w14:paraId="0C213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hint="eastAsia" w:ascii="Times New Roman" w:hAnsi="Times New Roman" w:cs="Times New Roman"/>
                <w:b/>
              </w:rPr>
              <w:t>数字经济核心产业</w:t>
            </w:r>
          </w:p>
          <w:p w14:paraId="61431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掌握：数字经济核心产业分类标准、主要业态划分、核心产业与非核心产业的统计方法等</w:t>
            </w:r>
          </w:p>
          <w:p w14:paraId="6D3B1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理解：数字产品制造业、数字产品服务业、数字技术应用业、数字要素驱动业、数字化效率提升业的分类逻辑，数字经济核心产业增加值等</w:t>
            </w:r>
          </w:p>
          <w:p w14:paraId="09634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熟悉：数字经济核心产业的业态分类方法，数字化效率提升业与三次产业数字化转型的关系等</w:t>
            </w:r>
          </w:p>
          <w:p w14:paraId="0B43D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hint="eastAsia" w:ascii="Times New Roman" w:hAnsi="Times New Roman" w:cs="Times New Roman"/>
                <w:b/>
              </w:rPr>
              <w:t>数字基础设施建设</w:t>
            </w:r>
          </w:p>
          <w:p w14:paraId="1F2CC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掌握：数字经济发展的关键基础设施、新型基础设施的分类方法、算力的内涵</w:t>
            </w:r>
          </w:p>
          <w:p w14:paraId="1A423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理解：数字基础设施与传统基础设施的关系，数字基础设施建设对数字经济发展的作用机理</w:t>
            </w:r>
          </w:p>
          <w:p w14:paraId="4A5DB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熟悉：数字经济发展中的主要基础设施，信息基础设施、融合基础设施、创新基础设施的主要形态</w:t>
            </w:r>
          </w:p>
          <w:p w14:paraId="2CB2C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hint="eastAsia" w:ascii="Times New Roman" w:hAnsi="Times New Roman" w:cs="Times New Roman"/>
                <w:b/>
              </w:rPr>
              <w:t>数字经济安全治理</w:t>
            </w:r>
          </w:p>
          <w:p w14:paraId="24978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掌握：数字经济面临的网络及数据安全风险、数字经济相关政策制度、数字经济规则的内涵及路径</w:t>
            </w:r>
          </w:p>
          <w:p w14:paraId="0AA69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理解：数字经济规制与数字经济发展的关系、市场失灵与数字经济规制的理论逻辑等</w:t>
            </w:r>
          </w:p>
          <w:p w14:paraId="37993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熟悉：网络及数据安全风险、数字经济市场不正当竞争行为以及数字鸿沟的主要治理手段等</w:t>
            </w:r>
          </w:p>
        </w:tc>
      </w:tr>
      <w:tr w14:paraId="3B53E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5902E4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参考书目</w:t>
            </w:r>
          </w:p>
          <w:p w14:paraId="146F5D3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《数字经济学》，</w:t>
            </w:r>
            <w:r>
              <w:rPr>
                <w:rFonts w:ascii="Times New Roman" w:hAnsi="Times New Roman" w:cs="Times New Roman"/>
                <w:bCs/>
              </w:rPr>
              <w:t>戎珂、周迪</w:t>
            </w:r>
            <w:r>
              <w:rPr>
                <w:rFonts w:hint="eastAsia" w:ascii="Times New Roman" w:hAnsi="Times New Roman" w:cs="Times New Roman"/>
                <w:bCs/>
              </w:rPr>
              <w:t>，</w:t>
            </w:r>
            <w:r>
              <w:rPr>
                <w:rFonts w:ascii="Times New Roman" w:hAnsi="Times New Roman" w:cs="Times New Roman"/>
                <w:bCs/>
              </w:rPr>
              <w:t>清华大学出版社</w:t>
            </w:r>
            <w:r>
              <w:rPr>
                <w:rFonts w:hint="eastAsia" w:ascii="Times New Roman" w:hAnsi="Times New Roman" w:cs="Times New Roman"/>
                <w:bCs/>
              </w:rPr>
              <w:t>，2</w:t>
            </w:r>
            <w:r>
              <w:rPr>
                <w:rFonts w:ascii="Times New Roman" w:hAnsi="Times New Roman" w:cs="Times New Roman"/>
                <w:bCs/>
              </w:rPr>
              <w:t>023</w:t>
            </w:r>
            <w:r>
              <w:rPr>
                <w:rFonts w:hint="eastAsia" w:ascii="Times New Roman" w:hAnsi="Times New Roman" w:cs="Times New Roman"/>
                <w:bCs/>
              </w:rPr>
              <w:t>年7月第一版，I</w:t>
            </w:r>
            <w:r>
              <w:rPr>
                <w:rFonts w:ascii="Times New Roman" w:hAnsi="Times New Roman" w:cs="Times New Roman"/>
                <w:bCs/>
              </w:rPr>
              <w:t>SBN</w:t>
            </w:r>
            <w:r>
              <w:rPr>
                <w:rFonts w:hint="eastAsia" w:ascii="Times New Roman" w:hAnsi="Times New Roman" w:cs="Times New Roman"/>
                <w:bCs/>
              </w:rPr>
              <w:t>：</w:t>
            </w:r>
            <w:r>
              <w:rPr>
                <w:rFonts w:ascii="Times New Roman" w:hAnsi="Times New Roman" w:cs="Times New Roman"/>
                <w:bCs/>
              </w:rPr>
              <w:t>787302634935</w:t>
            </w:r>
          </w:p>
          <w:p w14:paraId="16C27B1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《数字经济学：理论与应用》，杨波，社会科学文献出版社，2</w:t>
            </w:r>
            <w:r>
              <w:rPr>
                <w:rFonts w:ascii="Times New Roman" w:hAnsi="Times New Roman" w:cs="Times New Roman"/>
                <w:bCs/>
              </w:rPr>
              <w:t>023</w:t>
            </w:r>
            <w:r>
              <w:rPr>
                <w:rFonts w:hint="eastAsia" w:ascii="Times New Roman" w:hAnsi="Times New Roman" w:cs="Times New Roman"/>
                <w:bCs/>
              </w:rPr>
              <w:t>年6月第一版，I</w:t>
            </w:r>
            <w:r>
              <w:rPr>
                <w:rFonts w:ascii="Times New Roman" w:hAnsi="Times New Roman" w:cs="Times New Roman"/>
                <w:bCs/>
              </w:rPr>
              <w:t>SBN</w:t>
            </w:r>
            <w:r>
              <w:rPr>
                <w:rFonts w:hint="eastAsia" w:ascii="Times New Roman" w:hAnsi="Times New Roman" w:cs="Times New Roman"/>
                <w:bCs/>
              </w:rPr>
              <w:t>：</w:t>
            </w:r>
            <w:r>
              <w:rPr>
                <w:rFonts w:ascii="Times New Roman" w:hAnsi="Times New Roman" w:cs="Times New Roman"/>
                <w:bCs/>
              </w:rPr>
              <w:t>9787522811222</w:t>
            </w:r>
          </w:p>
          <w:p w14:paraId="6771126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《数字经济》，马化腾、孟昭莉、闫德利、王花蕾，</w:t>
            </w:r>
            <w:r>
              <w:rPr>
                <w:rFonts w:ascii="Times New Roman" w:hAnsi="Times New Roman" w:cs="Times New Roman"/>
                <w:bCs/>
              </w:rPr>
              <w:t>中信出版集团</w:t>
            </w:r>
            <w:r>
              <w:rPr>
                <w:rFonts w:hint="eastAsia" w:ascii="Times New Roman" w:hAnsi="Times New Roman" w:cs="Times New Roman"/>
                <w:bCs/>
              </w:rPr>
              <w:t>，2</w:t>
            </w:r>
            <w:r>
              <w:rPr>
                <w:rFonts w:ascii="Times New Roman" w:hAnsi="Times New Roman" w:cs="Times New Roman"/>
                <w:bCs/>
              </w:rPr>
              <w:t>017</w:t>
            </w:r>
            <w:r>
              <w:rPr>
                <w:rFonts w:hint="eastAsia" w:ascii="Times New Roman" w:hAnsi="Times New Roman" w:cs="Times New Roman"/>
                <w:bCs/>
              </w:rPr>
              <w:t>年第一版，I</w:t>
            </w:r>
            <w:r>
              <w:rPr>
                <w:rFonts w:ascii="Times New Roman" w:hAnsi="Times New Roman" w:cs="Times New Roman"/>
                <w:bCs/>
              </w:rPr>
              <w:t>SBN</w:t>
            </w:r>
            <w:r>
              <w:rPr>
                <w:rFonts w:hint="eastAsia" w:ascii="Times New Roman" w:hAnsi="Times New Roman" w:cs="Times New Roman"/>
                <w:bCs/>
              </w:rPr>
              <w:t>：</w:t>
            </w:r>
            <w:r>
              <w:rPr>
                <w:rFonts w:ascii="Times New Roman" w:hAnsi="Times New Roman" w:cs="Times New Roman"/>
                <w:bCs/>
              </w:rPr>
              <w:t>9787508674230</w:t>
            </w:r>
          </w:p>
        </w:tc>
      </w:tr>
      <w:tr w14:paraId="04BF3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81" w:type="dxa"/>
            <w:gridSpan w:val="4"/>
          </w:tcPr>
          <w:p w14:paraId="1E1D8EA6">
            <w:pPr>
              <w:rPr>
                <w:rFonts w:hint="eastAsia"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备注</w:t>
            </w:r>
          </w:p>
          <w:p w14:paraId="4B7FF555">
            <w:pPr>
              <w:rPr>
                <w:rFonts w:hint="eastAsia"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  <w:p w14:paraId="1A3CFAD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F557ED8"/>
    <w:p w14:paraId="546464DB">
      <w:pPr>
        <w:jc w:val="center"/>
        <w:rPr>
          <w:rFonts w:ascii="Times New Roman" w:hAnsi="Times New Roman" w:eastAsia="黑体" w:cs="Times New Roman"/>
          <w:color w:val="000000" w:themeColor="text1"/>
          <w:sz w:val="34"/>
        </w:rPr>
      </w:pPr>
      <w:r>
        <w:rPr>
          <w:rFonts w:ascii="Times New Roman" w:hAnsi="Times New Roman" w:eastAsia="黑体" w:cs="Times New Roman"/>
          <w:color w:val="000000" w:themeColor="text1"/>
          <w:sz w:val="34"/>
        </w:rPr>
        <w:t>F150《思想政治理论》</w:t>
      </w:r>
    </w:p>
    <w:tbl>
      <w:tblPr>
        <w:tblStyle w:val="6"/>
        <w:tblW w:w="10349" w:type="dxa"/>
        <w:tblInd w:w="-8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2"/>
        <w:gridCol w:w="2126"/>
        <w:gridCol w:w="2126"/>
        <w:gridCol w:w="3075"/>
      </w:tblGrid>
      <w:tr w14:paraId="371B0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A3DC419">
            <w:pPr>
              <w:jc w:val="left"/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命题方式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3140885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招生单位自命题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E96276A">
            <w:pPr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科目类别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C838A9B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复试</w:t>
            </w:r>
          </w:p>
        </w:tc>
      </w:tr>
      <w:tr w14:paraId="033BA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2E5789E">
            <w:pPr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满分</w:t>
            </w:r>
          </w:p>
        </w:tc>
        <w:tc>
          <w:tcPr>
            <w:tcW w:w="7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779902D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</w:rPr>
              <w:t>100</w:t>
            </w:r>
          </w:p>
        </w:tc>
      </w:tr>
      <w:tr w14:paraId="0FC9A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3ED6169">
            <w:pPr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考试性质</w:t>
            </w:r>
          </w:p>
          <w:p w14:paraId="7499E13C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复试</w:t>
            </w:r>
          </w:p>
        </w:tc>
      </w:tr>
      <w:tr w14:paraId="410C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EC1142A">
            <w:pPr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考试方式和考试时间</w:t>
            </w:r>
          </w:p>
          <w:p w14:paraId="5A884B88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闭卷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</w:rPr>
              <w:t>，1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</w:rPr>
              <w:t>分钟</w:t>
            </w:r>
          </w:p>
        </w:tc>
      </w:tr>
      <w:tr w14:paraId="63084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4B42F63">
            <w:pPr>
              <w:snapToGrid w:val="0"/>
              <w:rPr>
                <w:rFonts w:eastAsia="Times New Roman"/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试卷结构</w:t>
            </w:r>
          </w:p>
          <w:p w14:paraId="1421DC5D">
            <w:pPr>
              <w:spacing w:line="400" w:lineRule="exact"/>
              <w:ind w:firstLine="480" w:firstLineChars="200"/>
              <w:rPr>
                <w:rFonts w:eastAsia="Times New Roman"/>
                <w:b/>
                <w:color w:val="000000" w:themeColor="text1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</w:rPr>
              <w:t>题型结构为简答题和论述题。</w:t>
            </w:r>
          </w:p>
        </w:tc>
      </w:tr>
      <w:tr w14:paraId="1D06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43949E01">
            <w:pPr>
              <w:snapToGrid w:val="0"/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考试内容和要求</w:t>
            </w:r>
          </w:p>
          <w:p w14:paraId="08C06A28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思想政治理论考试涵盖《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</w:rPr>
              <w:t>习近平新时代中国特色社会主义思想概论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》《</w:t>
            </w:r>
            <w:r>
              <w:fldChar w:fldCharType="begin"/>
            </w:r>
            <w:r>
              <w:instrText xml:space="preserve"> HYPERLINK "https://baike.baidu.com/item/%E6%AF%9B%E6%B3%BD%E4%B8%9C%E6%80%9D%E6%83%B3%E5%92%8C%E4%B8%AD%E5%9B%BD%E7%89%B9%E8%89%B2%E7%A4%BE%E4%BC%9A%E4%B8%BB%E4%B9%89%E7%90%86%E8%AE%BA%E4%BD%93%E7%B3%BB%E6%A6%82%E8%AE%BA/2537454" \t "_blank"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毛泽东思想和中国特色社会主义理论体系概论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》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</w:rPr>
              <w:t>《</w:t>
            </w:r>
            <w:r>
              <w:fldChar w:fldCharType="begin"/>
            </w:r>
            <w:r>
              <w:instrText xml:space="preserve"> HYPERLINK "https://baike.baidu.com/item/%E9%A9%AC%E5%85%8B%E6%80%9D%E4%B8%BB%E4%B9%89%E5%9F%BA%E6%9C%AC%E5%8E%9F%E7%90%86%E6%A6%82%E8%AE%BA/8887906" \t "_blank"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马克思主义基本原理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</w:rPr>
              <w:t>》《思想道德与法治》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《形势与政策》等高等学校思想政治理论课课程。要求考生：</w:t>
            </w:r>
          </w:p>
          <w:p w14:paraId="6DFEDE1C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1．</w:t>
            </w:r>
            <w:r>
              <w:rPr>
                <w:rFonts w:ascii="宋体" w:hAnsi="宋体" w:eastAsia="宋体" w:cs="宋体"/>
                <w:sz w:val="24"/>
                <w:szCs w:val="24"/>
              </w:rPr>
              <w:t>准确再认或再现学科相关知识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。</w:t>
            </w:r>
          </w:p>
          <w:p w14:paraId="30AC3EC4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2．准确、恰当地使用本学科的专业术语，正确理解和掌握学科的有关范畴、规律和论断。</w:t>
            </w:r>
          </w:p>
          <w:p w14:paraId="5DBC0A2A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3．运用有关原理，解释和论证某种观点，辨明理论是非。</w:t>
            </w:r>
          </w:p>
          <w:p w14:paraId="65AAEA02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4．运用马克思主义的立场、观点和方法，比较和分析有关社会现象或实际问题。</w:t>
            </w:r>
          </w:p>
          <w:p w14:paraId="1E7CA9CA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</w:rPr>
              <w:t>5．结合特定的历史条件或国际、国内背景，认识和评价有关理论问题和实际问题。</w:t>
            </w:r>
          </w:p>
        </w:tc>
      </w:tr>
      <w:tr w14:paraId="6CFD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07A6853E">
            <w:pPr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参考书目</w:t>
            </w:r>
          </w:p>
          <w:p w14:paraId="22CE9673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</w:rPr>
              <w:t>1.《习近平新时代中国特色社会主义思想概论》，人民出版社，2023年版，ISBN：9787040610536。</w:t>
            </w:r>
          </w:p>
          <w:p w14:paraId="64CD2ACD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</w:rPr>
              <w:t>2.《毛泽东思想和中国特色社会主义理论体系概论》，高等教育出版社，2023年版，ISBN：9787040599039。</w:t>
            </w:r>
          </w:p>
          <w:p w14:paraId="4716C563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</w:rPr>
              <w:t>3.《马克思主义基本原理》，高等教育出版社，2023年版，ISBN：9787040599008。</w:t>
            </w:r>
          </w:p>
          <w:p w14:paraId="52721CBC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</w:rPr>
              <w:t>4.《思想道德与法治》，高等教育出版社，2023年版，ISBN：9787040599022。</w:t>
            </w:r>
          </w:p>
          <w:p w14:paraId="68E76639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b/>
                <w:color w:val="000000" w:themeColor="text1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</w:rPr>
              <w:t>5.《时事报告大学生版》，中宣部《时事报告》，杂志社（考试当年1月-12月的国际、国内的重大时事）。</w:t>
            </w:r>
          </w:p>
        </w:tc>
      </w:tr>
      <w:tr w14:paraId="41FA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79D2461">
            <w:pPr>
              <w:rPr>
                <w:rFonts w:eastAsia="Times New Roman"/>
                <w:b/>
              </w:rPr>
            </w:pPr>
            <w:r>
              <w:rPr>
                <w:rFonts w:hint="eastAsia"/>
                <w:b/>
              </w:rPr>
              <w:t>备注</w:t>
            </w:r>
          </w:p>
          <w:p w14:paraId="36E7AC65">
            <w:pPr>
              <w:rPr>
                <w:rFonts w:eastAsia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</w:tc>
      </w:tr>
    </w:tbl>
    <w:p w14:paraId="7ECD8D84"/>
    <w:sectPr>
      <w:headerReference r:id="rId5" w:type="first"/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C77E85-0686-4046-9713-3A3CD5CDF5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47BA8B9-4D7F-4398-BD58-A3B68B6475B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AA60739-AC5B-45D8-9297-F3823C6D4FE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6810876-6EF0-4409-80B5-8DE2875C48F8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5" w:fontKey="{8BE7E6C5-46C9-45F6-82B4-E04F258ECD2F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6" w:fontKey="{B223EDF4-4325-4308-B230-2F46F69FF9C2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03561594-8277-426B-8BE0-4ACB69A3F1F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E6861">
    <w:pPr>
      <w:pStyle w:val="4"/>
    </w:pPr>
    <w:r>
      <w:rPr>
        <w:rFonts w:hint="eastAsia" w:ascii="宋体" w:hAnsi="宋体" w:eastAsia="宋体" w:cs="宋体"/>
        <w:color w:val="000000"/>
        <w:kern w:val="0"/>
        <w:sz w:val="18"/>
        <w:szCs w:val="18"/>
        <w:u w:val="none"/>
        <w:lang w:val="en-US" w:eastAsia="zh-CN" w:bidi="ar"/>
      </w:rPr>
      <w:t>重庆邮电大学2027年全国硕士研究生招生考试自命题科目考试大纲</w:t>
    </w:r>
    <w:r>
      <w:pict>
        <v:shape id="PowerPlusWaterMarkObject113391486" o:spid="_x0000_s4098" o:spt="136" type="#_x0000_t136" style="position:absolute;left:0pt;height:43.9pt;width:442.5pt;mso-position-horizontal:center;mso-position-horizontal-relative:margin;mso-position-vertical:center;mso-position-vertical-relative:margin;rotation:20643840f;z-index:-251655168;mso-width-relative:page;mso-height-relative:page;" fillcolor="#9CC2E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EC3DC">
    <w:pPr>
      <w:pStyle w:val="4"/>
    </w:pPr>
    <w:r>
      <w:pict>
        <v:shape id="PowerPlusWaterMarkObject113391485" o:spid="_x0000_s4099" o:spt="136" type="#_x0000_t136" style="position:absolute;left:0pt;height:43.9pt;width:442.5pt;mso-position-horizontal:center;mso-position-horizontal-relative:margin;mso-position-vertical:center;mso-position-vertical-relative:margin;rotation:20643840f;z-index:-251656192;mso-width-relative:page;mso-height-relative:page;" fillcolor="#9CC2E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B8129">
    <w:pPr>
      <w:pStyle w:val="4"/>
    </w:pPr>
    <w:r>
      <w:pict>
        <v:shape id="PowerPlusWaterMarkObject113391484" o:spid="_x0000_s4097" o:spt="136" type="#_x0000_t136" style="position:absolute;left:0pt;height:43.9pt;width:442.5pt;mso-position-horizontal:center;mso-position-horizontal-relative:margin;mso-position-vertical:center;mso-position-vertical-relative:margin;rotation:20643840f;z-index:-251657216;mso-width-relative:page;mso-height-relative:page;" fillcolor="#9CC2E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14390"/>
    <w:multiLevelType w:val="singleLevel"/>
    <w:tmpl w:val="0891439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JjYzUwZjNjYzYwMDRjN2NlY2IwMzA1N2MwMWVkZTkifQ=="/>
  </w:docVars>
  <w:rsids>
    <w:rsidRoot w:val="00C770F3"/>
    <w:rsid w:val="00061584"/>
    <w:rsid w:val="000F2EE5"/>
    <w:rsid w:val="0012349F"/>
    <w:rsid w:val="00124827"/>
    <w:rsid w:val="001A5E2A"/>
    <w:rsid w:val="001B41C6"/>
    <w:rsid w:val="00230BBD"/>
    <w:rsid w:val="00236203"/>
    <w:rsid w:val="00262969"/>
    <w:rsid w:val="002761F0"/>
    <w:rsid w:val="002F174D"/>
    <w:rsid w:val="00331646"/>
    <w:rsid w:val="003437D4"/>
    <w:rsid w:val="00375DA6"/>
    <w:rsid w:val="00381E39"/>
    <w:rsid w:val="00394AE9"/>
    <w:rsid w:val="003A1645"/>
    <w:rsid w:val="003B2AB2"/>
    <w:rsid w:val="003D6AE9"/>
    <w:rsid w:val="003E575B"/>
    <w:rsid w:val="00401845"/>
    <w:rsid w:val="00420BE0"/>
    <w:rsid w:val="00421518"/>
    <w:rsid w:val="0042231C"/>
    <w:rsid w:val="004A1EA7"/>
    <w:rsid w:val="004A6661"/>
    <w:rsid w:val="004A672F"/>
    <w:rsid w:val="004F670D"/>
    <w:rsid w:val="00511B6F"/>
    <w:rsid w:val="005768DE"/>
    <w:rsid w:val="00616DDD"/>
    <w:rsid w:val="0063711C"/>
    <w:rsid w:val="00716D7A"/>
    <w:rsid w:val="00766E25"/>
    <w:rsid w:val="007A5266"/>
    <w:rsid w:val="007B41C3"/>
    <w:rsid w:val="007F39D0"/>
    <w:rsid w:val="0080786A"/>
    <w:rsid w:val="00890F14"/>
    <w:rsid w:val="008A3D88"/>
    <w:rsid w:val="009028EB"/>
    <w:rsid w:val="009104F6"/>
    <w:rsid w:val="00930EE3"/>
    <w:rsid w:val="00955C38"/>
    <w:rsid w:val="00963BB0"/>
    <w:rsid w:val="00A517BB"/>
    <w:rsid w:val="00A637CB"/>
    <w:rsid w:val="00AA548B"/>
    <w:rsid w:val="00AC1638"/>
    <w:rsid w:val="00B01506"/>
    <w:rsid w:val="00B36CBE"/>
    <w:rsid w:val="00B66098"/>
    <w:rsid w:val="00B670EE"/>
    <w:rsid w:val="00B86637"/>
    <w:rsid w:val="00BA1FC5"/>
    <w:rsid w:val="00BB3238"/>
    <w:rsid w:val="00BF2AED"/>
    <w:rsid w:val="00C24DA0"/>
    <w:rsid w:val="00C770F3"/>
    <w:rsid w:val="00D13772"/>
    <w:rsid w:val="00D14BE7"/>
    <w:rsid w:val="00D31E22"/>
    <w:rsid w:val="00D548E0"/>
    <w:rsid w:val="00D9474B"/>
    <w:rsid w:val="00DA08CF"/>
    <w:rsid w:val="00DB5790"/>
    <w:rsid w:val="00E12CC6"/>
    <w:rsid w:val="00F41333"/>
    <w:rsid w:val="00F47877"/>
    <w:rsid w:val="00F55224"/>
    <w:rsid w:val="00FC212A"/>
    <w:rsid w:val="00FF0D8F"/>
    <w:rsid w:val="0E082B40"/>
    <w:rsid w:val="0E1E79ED"/>
    <w:rsid w:val="0F0F2D76"/>
    <w:rsid w:val="115660F0"/>
    <w:rsid w:val="121B5010"/>
    <w:rsid w:val="177E530D"/>
    <w:rsid w:val="18FD301F"/>
    <w:rsid w:val="1AF77538"/>
    <w:rsid w:val="2001177A"/>
    <w:rsid w:val="23855006"/>
    <w:rsid w:val="2FBA3D73"/>
    <w:rsid w:val="30E75698"/>
    <w:rsid w:val="38B05970"/>
    <w:rsid w:val="3DD847CB"/>
    <w:rsid w:val="3FBF4059"/>
    <w:rsid w:val="415C6503"/>
    <w:rsid w:val="42B949D8"/>
    <w:rsid w:val="46A0383F"/>
    <w:rsid w:val="474E6924"/>
    <w:rsid w:val="4D3D3C60"/>
    <w:rsid w:val="4E517B98"/>
    <w:rsid w:val="50067B19"/>
    <w:rsid w:val="51AF168E"/>
    <w:rsid w:val="52FD598E"/>
    <w:rsid w:val="53C27D88"/>
    <w:rsid w:val="564C192C"/>
    <w:rsid w:val="5DF70272"/>
    <w:rsid w:val="604918C5"/>
    <w:rsid w:val="6CEF59E1"/>
    <w:rsid w:val="6E674815"/>
    <w:rsid w:val="6FA16DD2"/>
    <w:rsid w:val="6FAB5E6E"/>
    <w:rsid w:val="70CC2898"/>
    <w:rsid w:val="76356A07"/>
    <w:rsid w:val="7C193F51"/>
    <w:rsid w:val="7E374B3D"/>
    <w:rsid w:val="7E8813E9"/>
    <w:rsid w:val="7F4B4F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apple-converted-space"/>
    <w:basedOn w:val="8"/>
    <w:qFormat/>
    <w:uiPriority w:val="0"/>
  </w:style>
  <w:style w:type="character" w:customStyle="1" w:styleId="12">
    <w:name w:val="批注框文本 字符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4350</Words>
  <Characters>4753</Characters>
  <Lines>30</Lines>
  <Paragraphs>8</Paragraphs>
  <TotalTime>4</TotalTime>
  <ScaleCrop>false</ScaleCrop>
  <LinksUpToDate>false</LinksUpToDate>
  <CharactersWithSpaces>4796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2014-06-25T00:13:00Z</dcterms:created>
  <dc:creator>车颢</dc:creator>
  <cp:lastModifiedBy>乌勒质</cp:lastModifiedBy>
  <cp:lastPrinted>2019-08-05T08:36:00Z</cp:lastPrinted>
  <dcterms:modified xsi:type="dcterms:W3CDTF">2026-07-29T03:52:18Z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AE84074A4F024095A0C83A91CB699838</vt:lpwstr>
  </property>
  <property fmtid="{D5CDD505-2E9C-101B-9397-08002B2CF9AE}" pid="4" name="KSOTemplateDocerSaveRecord">
    <vt:lpwstr>eyJoZGlkIjoiMzEwNTM5NzYwMDRjMzkwZTVkZjY2ODkwMGIxNGU0OTUiLCJ1c2VySWQiOiI0MjE3Nzg3MTkifQ==</vt:lpwstr>
  </property>
</Properties>
</file>