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2AC89B">
      <w:pPr>
        <w:spacing w:line="60" w:lineRule="auto"/>
        <w:jc w:val="center"/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</w:pPr>
    </w:p>
    <w:p w14:paraId="0EDE6FD1">
      <w:pPr>
        <w:spacing w:line="60" w:lineRule="auto"/>
        <w:jc w:val="center"/>
        <w:rPr>
          <w:rFonts w:hint="eastAsia" w:ascii="方正小标宋简体" w:hAnsi="方正小标宋简体" w:eastAsia="方正小标宋简体" w:cs="方正小标宋简体"/>
          <w:bCs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  <w:t>管理学原理</w:t>
      </w: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  <w:lang w:val="en-US" w:eastAsia="zh-CN"/>
        </w:rPr>
        <w:t xml:space="preserve"> 考试大纲</w:t>
      </w:r>
    </w:p>
    <w:p w14:paraId="7945992E">
      <w:pPr>
        <w:spacing w:line="60" w:lineRule="auto"/>
        <w:jc w:val="center"/>
        <w:rPr>
          <w:rFonts w:hint="eastAsia" w:ascii="方正小标宋简体" w:hAnsi="方正小标宋简体" w:eastAsia="方正小标宋简体" w:cs="方正小标宋简体"/>
          <w:bCs/>
          <w:sz w:val="36"/>
          <w:szCs w:val="36"/>
          <w:lang w:val="en-US" w:eastAsia="zh-CN"/>
        </w:rPr>
      </w:pPr>
    </w:p>
    <w:p w14:paraId="1CE2DDB8">
      <w:pPr>
        <w:spacing w:line="60" w:lineRule="auto"/>
        <w:jc w:val="left"/>
        <w:rPr>
          <w:rFonts w:ascii="黑体" w:hAnsi="黑体" w:eastAsia="黑体"/>
          <w:bCs/>
          <w:sz w:val="32"/>
          <w:szCs w:val="32"/>
        </w:rPr>
      </w:pPr>
      <w:r>
        <w:rPr>
          <w:rFonts w:ascii="黑体" w:hAnsi="黑体" w:eastAsia="黑体"/>
          <w:bCs/>
          <w:sz w:val="32"/>
          <w:szCs w:val="32"/>
        </w:rPr>
        <w:t xml:space="preserve">  </w:t>
      </w:r>
      <w:r>
        <w:rPr>
          <w:rFonts w:hint="eastAsia" w:ascii="黑体" w:hAnsi="黑体" w:eastAsia="黑体"/>
          <w:b/>
          <w:bCs/>
          <w:sz w:val="32"/>
          <w:szCs w:val="32"/>
        </w:rPr>
        <w:t>一、考试形式与试卷结构</w:t>
      </w:r>
    </w:p>
    <w:p w14:paraId="68054A48">
      <w:pPr>
        <w:spacing w:line="60" w:lineRule="auto"/>
        <w:rPr>
          <w:rFonts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（一）试卷满分及考试时间</w:t>
      </w:r>
    </w:p>
    <w:p w14:paraId="7F011BF5">
      <w:pPr>
        <w:spacing w:line="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试卷满分为</w:t>
      </w:r>
      <w:r>
        <w:rPr>
          <w:rFonts w:ascii="仿宋" w:hAnsi="仿宋" w:eastAsia="仿宋"/>
          <w:sz w:val="32"/>
          <w:szCs w:val="32"/>
        </w:rPr>
        <w:t>100</w:t>
      </w:r>
      <w:r>
        <w:rPr>
          <w:rFonts w:hint="eastAsia" w:ascii="仿宋" w:hAnsi="仿宋" w:eastAsia="仿宋"/>
          <w:sz w:val="32"/>
          <w:szCs w:val="32"/>
        </w:rPr>
        <w:t>分，考试时间为</w:t>
      </w:r>
      <w:r>
        <w:rPr>
          <w:rFonts w:ascii="仿宋" w:hAnsi="仿宋" w:eastAsia="仿宋"/>
          <w:sz w:val="32"/>
          <w:szCs w:val="32"/>
        </w:rPr>
        <w:t>60</w:t>
      </w:r>
      <w:r>
        <w:rPr>
          <w:rFonts w:hint="eastAsia" w:ascii="仿宋" w:hAnsi="仿宋" w:eastAsia="仿宋"/>
          <w:sz w:val="32"/>
          <w:szCs w:val="32"/>
        </w:rPr>
        <w:t>分钟。</w:t>
      </w:r>
    </w:p>
    <w:p w14:paraId="5FD94D48">
      <w:pPr>
        <w:spacing w:line="60" w:lineRule="auto"/>
        <w:rPr>
          <w:rFonts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（二）答题方式</w:t>
      </w:r>
    </w:p>
    <w:p w14:paraId="68747329">
      <w:pPr>
        <w:spacing w:line="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闭卷、笔试。</w:t>
      </w:r>
    </w:p>
    <w:p w14:paraId="29D38C39">
      <w:pPr>
        <w:spacing w:line="60" w:lineRule="auto"/>
        <w:rPr>
          <w:rFonts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（三）题型结构</w:t>
      </w:r>
    </w:p>
    <w:p w14:paraId="2BAE5C38">
      <w:pPr>
        <w:spacing w:line="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1</w:t>
      </w:r>
      <w:r>
        <w:rPr>
          <w:rFonts w:hint="eastAsia" w:ascii="仿宋" w:hAnsi="仿宋" w:eastAsia="仿宋"/>
          <w:sz w:val="32"/>
          <w:szCs w:val="32"/>
        </w:rPr>
        <w:t>.名词解释：共4个小题，每题5分，共20分。</w:t>
      </w:r>
    </w:p>
    <w:p w14:paraId="2FE6406F">
      <w:pPr>
        <w:spacing w:line="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2</w:t>
      </w:r>
      <w:r>
        <w:rPr>
          <w:rFonts w:hint="eastAsia" w:ascii="仿宋" w:hAnsi="仿宋" w:eastAsia="仿宋"/>
          <w:sz w:val="32"/>
          <w:szCs w:val="32"/>
        </w:rPr>
        <w:t>.简答题：共5个小题，每题10分，共50分。</w:t>
      </w:r>
    </w:p>
    <w:p w14:paraId="1B9B0C91">
      <w:pPr>
        <w:spacing w:line="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3</w:t>
      </w:r>
      <w:r>
        <w:rPr>
          <w:rFonts w:hint="eastAsia" w:ascii="仿宋" w:hAnsi="仿宋" w:eastAsia="仿宋"/>
          <w:sz w:val="32"/>
          <w:szCs w:val="32"/>
        </w:rPr>
        <w:t>.论述题：共2小题，每题15分，共30分</w:t>
      </w:r>
    </w:p>
    <w:p w14:paraId="3C11F009">
      <w:pPr>
        <w:spacing w:line="60" w:lineRule="auto"/>
        <w:ind w:firstLine="321" w:firstLineChars="100"/>
        <w:rPr>
          <w:rFonts w:ascii="仿宋" w:hAnsi="仿宋" w:eastAsia="仿宋"/>
          <w:sz w:val="32"/>
          <w:szCs w:val="32"/>
        </w:rPr>
      </w:pPr>
      <w:r>
        <w:rPr>
          <w:rFonts w:hint="eastAsia" w:ascii="黑体" w:hAnsi="黑体" w:eastAsia="黑体"/>
          <w:b/>
          <w:bCs/>
          <w:sz w:val="32"/>
          <w:szCs w:val="32"/>
        </w:rPr>
        <w:t>二、考查内容</w:t>
      </w:r>
    </w:p>
    <w:p w14:paraId="324EA3D3">
      <w:pPr>
        <w:spacing w:line="60" w:lineRule="auto"/>
        <w:rPr>
          <w:rFonts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（一）绪论</w:t>
      </w:r>
    </w:p>
    <w:p w14:paraId="7A9592E1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1.管理学的研究体系。</w:t>
      </w:r>
    </w:p>
    <w:p w14:paraId="4D6AD788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2.管理学的产生与发展。</w:t>
      </w:r>
    </w:p>
    <w:p w14:paraId="37C58E5C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3.学习管理学的意义和方法。</w:t>
      </w:r>
    </w:p>
    <w:p w14:paraId="1E265FDF">
      <w:pPr>
        <w:spacing w:line="60" w:lineRule="auto"/>
        <w:rPr>
          <w:rFonts w:hint="eastAsia" w:ascii="楷体" w:hAnsi="楷体" w:eastAsia="楷体"/>
          <w:sz w:val="32"/>
          <w:szCs w:val="32"/>
          <w:lang w:eastAsia="zh-CN"/>
        </w:rPr>
      </w:pPr>
      <w:r>
        <w:rPr>
          <w:rFonts w:hint="eastAsia" w:ascii="楷体" w:hAnsi="楷体" w:eastAsia="楷体"/>
          <w:sz w:val="32"/>
          <w:szCs w:val="32"/>
        </w:rPr>
        <w:t>（二）管理</w:t>
      </w:r>
      <w:r>
        <w:rPr>
          <w:rFonts w:hint="eastAsia" w:ascii="楷体" w:hAnsi="楷体" w:eastAsia="楷体"/>
          <w:sz w:val="32"/>
          <w:szCs w:val="32"/>
          <w:lang w:eastAsia="zh-CN"/>
        </w:rPr>
        <w:t>与管理活动</w:t>
      </w:r>
    </w:p>
    <w:p w14:paraId="5D356E7F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1.管理的内涵与本质。</w:t>
      </w:r>
    </w:p>
    <w:p w14:paraId="1C66342C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2.管理工作的主要内容</w:t>
      </w:r>
    </w:p>
    <w:p w14:paraId="0CE56358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3.管理的基本原理与方法</w:t>
      </w:r>
    </w:p>
    <w:p w14:paraId="29EBC718">
      <w:pPr>
        <w:spacing w:line="60" w:lineRule="auto"/>
        <w:rPr>
          <w:rFonts w:cs="宋体"/>
          <w:b/>
        </w:rPr>
      </w:pPr>
      <w:r>
        <w:rPr>
          <w:rFonts w:hint="eastAsia" w:ascii="楷体" w:hAnsi="楷体" w:eastAsia="楷体"/>
          <w:sz w:val="32"/>
          <w:szCs w:val="32"/>
        </w:rPr>
        <w:t xml:space="preserve">（三）管理理论的历史演变     </w:t>
      </w:r>
      <w:r>
        <w:rPr>
          <w:rFonts w:hint="eastAsia" w:cs="宋体"/>
          <w:b/>
        </w:rPr>
        <w:t xml:space="preserve">                 </w:t>
      </w:r>
    </w:p>
    <w:p w14:paraId="2302591B">
      <w:pPr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1.古典管理理论：泰勒的科学管理，法约尔的一般管理理论，西蒙的决策理论。</w:t>
      </w:r>
    </w:p>
    <w:p w14:paraId="0E7495F3">
      <w:pPr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2.现代管理理论：管理思维的系统观和权变观，管理本质的决策与协调研究，管理分析的技术与方法研究。</w:t>
      </w:r>
    </w:p>
    <w:p w14:paraId="027B999B">
      <w:pPr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3.当代管理理论：组织趋同理论，企业再造理论。 </w:t>
      </w:r>
    </w:p>
    <w:p w14:paraId="18C0CF4C">
      <w:pPr>
        <w:spacing w:line="60" w:lineRule="auto"/>
        <w:rPr>
          <w:rFonts w:cs="宋体"/>
          <w:b/>
        </w:rPr>
      </w:pPr>
      <w:r>
        <w:rPr>
          <w:rFonts w:hint="eastAsia" w:ascii="楷体" w:hAnsi="楷体" w:eastAsia="楷体"/>
          <w:sz w:val="32"/>
          <w:szCs w:val="32"/>
        </w:rPr>
        <w:t xml:space="preserve">（四）决策与决策过程     </w:t>
      </w:r>
      <w:r>
        <w:rPr>
          <w:rFonts w:hint="eastAsia" w:cs="宋体"/>
          <w:b/>
        </w:rPr>
        <w:t xml:space="preserve">           </w:t>
      </w:r>
    </w:p>
    <w:p w14:paraId="73F5A5DF">
      <w:pPr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1.决策的概念和要素，决策与计划之间的关系。</w:t>
      </w:r>
    </w:p>
    <w:p w14:paraId="40749560">
      <w:pPr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2.决策的类型和特征。</w:t>
      </w:r>
    </w:p>
    <w:p w14:paraId="1DC67860">
      <w:pPr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3.决策过程，决策的影响因素，决策的准则。</w:t>
      </w:r>
    </w:p>
    <w:p w14:paraId="565739AC">
      <w:pPr>
        <w:spacing w:line="60" w:lineRule="auto"/>
        <w:rPr>
          <w:rFonts w:cs="宋体"/>
          <w:b/>
        </w:rPr>
      </w:pPr>
      <w:r>
        <w:rPr>
          <w:rFonts w:hint="eastAsia" w:ascii="楷体" w:hAnsi="楷体" w:eastAsia="楷体"/>
          <w:sz w:val="32"/>
          <w:szCs w:val="32"/>
        </w:rPr>
        <w:t xml:space="preserve">（五）环境分析与理性决策   </w:t>
      </w:r>
      <w:r>
        <w:rPr>
          <w:rFonts w:hint="eastAsia" w:cs="宋体"/>
          <w:b/>
        </w:rPr>
        <w:t xml:space="preserve">                  </w:t>
      </w:r>
    </w:p>
    <w:p w14:paraId="2A0B0BAB">
      <w:pPr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1.环境分析常用的方法</w:t>
      </w:r>
    </w:p>
    <w:p w14:paraId="2FEC870A">
      <w:pPr>
        <w:ind w:left="278" w:leftChars="116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2.理性决策、行为决策、</w:t>
      </w:r>
      <w:r>
        <w:rPr>
          <w:rFonts w:hint="eastAsia" w:ascii="仿宋" w:hAnsi="仿宋" w:eastAsia="仿宋"/>
          <w:sz w:val="28"/>
          <w:szCs w:val="28"/>
          <w:lang w:eastAsia="zh-CN"/>
        </w:rPr>
        <w:t>理性限制的克服</w:t>
      </w:r>
      <w:r>
        <w:rPr>
          <w:rFonts w:hint="eastAsia" w:ascii="仿宋" w:hAnsi="仿宋" w:eastAsia="仿宋"/>
          <w:sz w:val="28"/>
          <w:szCs w:val="28"/>
        </w:rPr>
        <w:t>。</w:t>
      </w:r>
    </w:p>
    <w:p w14:paraId="781D0A68">
      <w:pPr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3.决策背景研究方法，</w:t>
      </w:r>
      <w:r>
        <w:rPr>
          <w:rFonts w:hint="eastAsia" w:ascii="仿宋" w:hAnsi="仿宋" w:eastAsia="仿宋"/>
          <w:sz w:val="28"/>
          <w:szCs w:val="28"/>
          <w:lang w:eastAsia="zh-CN"/>
        </w:rPr>
        <w:t>决策</w:t>
      </w:r>
      <w:r>
        <w:rPr>
          <w:rFonts w:hint="eastAsia" w:ascii="仿宋" w:hAnsi="仿宋" w:eastAsia="仿宋"/>
          <w:sz w:val="28"/>
          <w:szCs w:val="28"/>
        </w:rPr>
        <w:t>方案生成方法，选择</w:t>
      </w:r>
      <w:r>
        <w:rPr>
          <w:rFonts w:hint="eastAsia" w:ascii="仿宋" w:hAnsi="仿宋" w:eastAsia="仿宋"/>
          <w:sz w:val="28"/>
          <w:szCs w:val="28"/>
          <w:lang w:eastAsia="zh-CN"/>
        </w:rPr>
        <w:t>决策</w:t>
      </w:r>
      <w:r>
        <w:rPr>
          <w:rFonts w:hint="eastAsia" w:ascii="仿宋" w:hAnsi="仿宋" w:eastAsia="仿宋"/>
          <w:sz w:val="28"/>
          <w:szCs w:val="28"/>
        </w:rPr>
        <w:t xml:space="preserve">方案的评价方法。 </w:t>
      </w:r>
    </w:p>
    <w:p w14:paraId="71100FB3">
      <w:pPr>
        <w:spacing w:line="60" w:lineRule="auto"/>
        <w:rPr>
          <w:rFonts w:cs="宋体"/>
          <w:b/>
        </w:rPr>
      </w:pPr>
      <w:r>
        <w:rPr>
          <w:rFonts w:hint="eastAsia" w:ascii="楷体" w:hAnsi="楷体" w:eastAsia="楷体"/>
          <w:sz w:val="32"/>
          <w:szCs w:val="32"/>
        </w:rPr>
        <w:t xml:space="preserve">（六）决策的实施与调整   </w:t>
      </w:r>
      <w:r>
        <w:rPr>
          <w:rFonts w:hint="eastAsia" w:cs="宋体"/>
          <w:b/>
        </w:rPr>
        <w:t xml:space="preserve">                                  </w:t>
      </w:r>
    </w:p>
    <w:p w14:paraId="3B6E4B72">
      <w:pPr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1.计划的本质与特征，计划的类型与作用，计划编制的过程与方法。</w:t>
      </w:r>
    </w:p>
    <w:p w14:paraId="7F1A9504">
      <w:pPr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2.目标管理的含义、特点和过程；PDCA循环的内涵。</w:t>
      </w:r>
    </w:p>
    <w:p w14:paraId="50088C57">
      <w:pPr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3.决策追踪与调整的内涵、原则、程序与方法。 </w:t>
      </w:r>
    </w:p>
    <w:p w14:paraId="0FABF1EF">
      <w:pPr>
        <w:spacing w:line="60" w:lineRule="auto"/>
        <w:rPr>
          <w:rFonts w:hint="eastAsia"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 xml:space="preserve">（七）组织设计                           </w:t>
      </w:r>
    </w:p>
    <w:p w14:paraId="664EB3A2">
      <w:pPr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1.组织设计的任务，组织设计的影响因素和原</w:t>
      </w:r>
      <w:r>
        <w:rPr>
          <w:rFonts w:hint="eastAsia" w:ascii="仿宋" w:hAnsi="仿宋" w:eastAsia="仿宋"/>
          <w:sz w:val="28"/>
          <w:szCs w:val="28"/>
          <w:lang w:eastAsia="zh-CN"/>
        </w:rPr>
        <w:t>则</w:t>
      </w:r>
      <w:r>
        <w:rPr>
          <w:rFonts w:hint="eastAsia" w:ascii="仿宋" w:hAnsi="仿宋" w:eastAsia="仿宋"/>
          <w:sz w:val="28"/>
          <w:szCs w:val="28"/>
        </w:rPr>
        <w:t>。</w:t>
      </w:r>
    </w:p>
    <w:p w14:paraId="2EE47439">
      <w:pPr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2.机械式组织与有机式组织的特点及适用条件，各类组织结构的优缺点。</w:t>
      </w:r>
    </w:p>
    <w:p w14:paraId="03A23AEF">
      <w:pPr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3.正式组织与非正式组织的整合，层级整合，直线与参谋整合。</w:t>
      </w:r>
    </w:p>
    <w:p w14:paraId="293A75FE">
      <w:pPr>
        <w:spacing w:line="60" w:lineRule="auto"/>
        <w:rPr>
          <w:rFonts w:hint="eastAsia" w:ascii="楷体" w:hAnsi="楷体" w:eastAsia="楷体"/>
          <w:sz w:val="32"/>
          <w:szCs w:val="32"/>
          <w:lang w:val="en-US" w:eastAsia="zh-CN"/>
        </w:rPr>
      </w:pPr>
      <w:r>
        <w:rPr>
          <w:rFonts w:hint="eastAsia" w:ascii="楷体" w:hAnsi="楷体" w:eastAsia="楷体"/>
          <w:sz w:val="32"/>
          <w:szCs w:val="32"/>
        </w:rPr>
        <w:t>（八）</w:t>
      </w:r>
      <w:r>
        <w:rPr>
          <w:rFonts w:hint="eastAsia" w:ascii="楷体" w:hAnsi="楷体" w:eastAsia="楷体"/>
          <w:sz w:val="32"/>
          <w:szCs w:val="32"/>
          <w:lang w:eastAsia="zh-CN"/>
        </w:rPr>
        <w:t>人员配备</w:t>
      </w:r>
    </w:p>
    <w:p w14:paraId="30B671DA">
      <w:pPr>
        <w:ind w:firstLine="280" w:firstLineChars="100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1.</w:t>
      </w:r>
      <w:r>
        <w:rPr>
          <w:rFonts w:hint="eastAsia" w:ascii="仿宋" w:hAnsi="仿宋" w:eastAsia="仿宋"/>
          <w:sz w:val="28"/>
          <w:szCs w:val="28"/>
          <w:lang w:eastAsia="zh-CN"/>
        </w:rPr>
        <w:t>人员配备的任务、工作内容和原则。</w:t>
      </w:r>
    </w:p>
    <w:p w14:paraId="2470A1B3">
      <w:pPr>
        <w:ind w:firstLine="280" w:firstLineChars="100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2.</w:t>
      </w:r>
      <w:r>
        <w:rPr>
          <w:rFonts w:hint="eastAsia" w:ascii="仿宋" w:hAnsi="仿宋" w:eastAsia="仿宋"/>
          <w:sz w:val="28"/>
          <w:szCs w:val="28"/>
          <w:lang w:eastAsia="zh-CN"/>
        </w:rPr>
        <w:t>人员选聘的标准、途径与方法。</w:t>
      </w:r>
    </w:p>
    <w:p w14:paraId="782C5C54">
      <w:pPr>
        <w:ind w:firstLine="280" w:firstLineChars="1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3.</w:t>
      </w:r>
      <w:r>
        <w:rPr>
          <w:rFonts w:hint="eastAsia" w:ascii="仿宋" w:hAnsi="仿宋" w:eastAsia="仿宋"/>
          <w:sz w:val="28"/>
          <w:szCs w:val="28"/>
          <w:lang w:eastAsia="zh-CN"/>
        </w:rPr>
        <w:t>人事考评的功能、要素、方法及工作流程</w:t>
      </w:r>
      <w:r>
        <w:rPr>
          <w:rFonts w:hint="eastAsia" w:ascii="仿宋" w:hAnsi="仿宋" w:eastAsia="仿宋"/>
          <w:sz w:val="28"/>
          <w:szCs w:val="28"/>
        </w:rPr>
        <w:t>。</w:t>
      </w:r>
    </w:p>
    <w:p w14:paraId="54E90E02">
      <w:pPr>
        <w:ind w:firstLine="280" w:firstLineChars="100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4.</w:t>
      </w:r>
      <w:r>
        <w:rPr>
          <w:rFonts w:hint="eastAsia" w:ascii="仿宋" w:hAnsi="仿宋" w:eastAsia="仿宋"/>
          <w:sz w:val="28"/>
          <w:szCs w:val="28"/>
          <w:lang w:eastAsia="zh-CN"/>
        </w:rPr>
        <w:t>人员培训的功能、任务、方法。</w:t>
      </w:r>
    </w:p>
    <w:p w14:paraId="06FFA4F7">
      <w:pPr>
        <w:spacing w:line="60" w:lineRule="auto"/>
        <w:rPr>
          <w:rFonts w:hint="eastAsia"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（</w:t>
      </w:r>
      <w:r>
        <w:rPr>
          <w:rFonts w:hint="eastAsia" w:ascii="楷体" w:hAnsi="楷体" w:eastAsia="楷体"/>
          <w:sz w:val="32"/>
          <w:szCs w:val="32"/>
          <w:lang w:eastAsia="zh-CN"/>
        </w:rPr>
        <w:t>九</w:t>
      </w:r>
      <w:r>
        <w:rPr>
          <w:rFonts w:hint="eastAsia" w:ascii="楷体" w:hAnsi="楷体" w:eastAsia="楷体"/>
          <w:sz w:val="32"/>
          <w:szCs w:val="32"/>
        </w:rPr>
        <w:t xml:space="preserve">）组织文化                    </w:t>
      </w:r>
    </w:p>
    <w:p w14:paraId="37349524">
      <w:pPr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1.组织文化的含义、类型、特征，组织文化的影响因素。</w:t>
      </w:r>
    </w:p>
    <w:p w14:paraId="5C11C575">
      <w:pPr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2.组织文化的构成与功能。</w:t>
      </w:r>
    </w:p>
    <w:p w14:paraId="40AA64A1">
      <w:pPr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3.组织文化的塑造过程。</w:t>
      </w:r>
    </w:p>
    <w:p w14:paraId="51A1AEC5">
      <w:pPr>
        <w:spacing w:line="60" w:lineRule="auto"/>
        <w:rPr>
          <w:rFonts w:hint="eastAsia"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（</w:t>
      </w:r>
      <w:r>
        <w:rPr>
          <w:rFonts w:hint="eastAsia" w:ascii="楷体" w:hAnsi="楷体" w:eastAsia="楷体"/>
          <w:sz w:val="32"/>
          <w:szCs w:val="32"/>
          <w:lang w:eastAsia="zh-CN"/>
        </w:rPr>
        <w:t>十</w:t>
      </w:r>
      <w:r>
        <w:rPr>
          <w:rFonts w:hint="eastAsia" w:ascii="楷体" w:hAnsi="楷体" w:eastAsia="楷体"/>
          <w:sz w:val="32"/>
          <w:szCs w:val="32"/>
        </w:rPr>
        <w:t xml:space="preserve">）领导的一般理论                         </w:t>
      </w:r>
    </w:p>
    <w:p w14:paraId="595F2401">
      <w:pPr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1.领导的内涵与特征，领导的权力来源。</w:t>
      </w:r>
    </w:p>
    <w:p w14:paraId="64DE932F">
      <w:pPr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2.</w:t>
      </w:r>
      <w:r>
        <w:rPr>
          <w:rFonts w:hint="eastAsia" w:ascii="仿宋" w:hAnsi="仿宋" w:eastAsia="仿宋"/>
          <w:sz w:val="28"/>
          <w:szCs w:val="28"/>
          <w:lang w:eastAsia="zh-CN"/>
        </w:rPr>
        <w:t>领导者特质理论</w:t>
      </w:r>
      <w:r>
        <w:rPr>
          <w:rFonts w:hint="eastAsia" w:ascii="仿宋" w:hAnsi="仿宋" w:eastAsia="仿宋"/>
          <w:sz w:val="28"/>
          <w:szCs w:val="28"/>
        </w:rPr>
        <w:t>、</w:t>
      </w:r>
      <w:r>
        <w:rPr>
          <w:rFonts w:hint="eastAsia" w:ascii="仿宋" w:hAnsi="仿宋" w:eastAsia="仿宋"/>
          <w:sz w:val="28"/>
          <w:szCs w:val="28"/>
          <w:lang w:eastAsia="zh-CN"/>
        </w:rPr>
        <w:t>领导者行为理论、</w:t>
      </w:r>
      <w:r>
        <w:rPr>
          <w:rFonts w:hint="eastAsia" w:ascii="仿宋" w:hAnsi="仿宋" w:eastAsia="仿宋"/>
          <w:sz w:val="28"/>
          <w:szCs w:val="28"/>
        </w:rPr>
        <w:t>领导者团体理论</w:t>
      </w:r>
    </w:p>
    <w:p w14:paraId="586BF51D">
      <w:pPr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3.情境领导模型、领导-成员交换理论、领导角色理论。</w:t>
      </w:r>
    </w:p>
    <w:p w14:paraId="2497AAB4">
      <w:pPr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4.费德勒的权变领导理论、豪斯的路径-目标领导理论。</w:t>
      </w:r>
    </w:p>
    <w:p w14:paraId="36AF970D">
      <w:pPr>
        <w:spacing w:line="60" w:lineRule="auto"/>
        <w:rPr>
          <w:rFonts w:hint="eastAsia"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（十</w:t>
      </w:r>
      <w:r>
        <w:rPr>
          <w:rFonts w:hint="eastAsia" w:ascii="楷体" w:hAnsi="楷体" w:eastAsia="楷体"/>
          <w:sz w:val="32"/>
          <w:szCs w:val="32"/>
          <w:lang w:eastAsia="zh-CN"/>
        </w:rPr>
        <w:t>一</w:t>
      </w:r>
      <w:r>
        <w:rPr>
          <w:rFonts w:hint="eastAsia" w:ascii="楷体" w:hAnsi="楷体" w:eastAsia="楷体"/>
          <w:sz w:val="32"/>
          <w:szCs w:val="32"/>
        </w:rPr>
        <w:t xml:space="preserve">）激励                                 </w:t>
      </w:r>
    </w:p>
    <w:p w14:paraId="01DD0804">
      <w:pPr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1.激励基础。</w:t>
      </w:r>
    </w:p>
    <w:p w14:paraId="43E53C32">
      <w:pPr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2.需要层次理论、双因素理论、公平理论、期望理论、强化理论的基本内容。</w:t>
      </w:r>
    </w:p>
    <w:p w14:paraId="40CDC579">
      <w:pPr>
        <w:ind w:firstLine="280" w:firstLineChars="100"/>
        <w:rPr>
          <w:rFonts w:cs="宋体"/>
        </w:rPr>
      </w:pPr>
      <w:r>
        <w:rPr>
          <w:rFonts w:hint="eastAsia" w:ascii="仿宋" w:hAnsi="仿宋" w:eastAsia="仿宋"/>
          <w:sz w:val="28"/>
          <w:szCs w:val="28"/>
        </w:rPr>
        <w:t xml:space="preserve">3.常用的激励方法。 </w:t>
      </w:r>
      <w:r>
        <w:rPr>
          <w:rFonts w:hint="eastAsia" w:cs="宋体"/>
        </w:rPr>
        <w:t xml:space="preserve">    </w:t>
      </w:r>
    </w:p>
    <w:p w14:paraId="3AAEA298">
      <w:pPr>
        <w:spacing w:line="60" w:lineRule="auto"/>
        <w:rPr>
          <w:rFonts w:hint="eastAsia"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（十</w:t>
      </w:r>
      <w:r>
        <w:rPr>
          <w:rFonts w:hint="eastAsia" w:ascii="楷体" w:hAnsi="楷体" w:eastAsia="楷体"/>
          <w:sz w:val="32"/>
          <w:szCs w:val="32"/>
          <w:lang w:eastAsia="zh-CN"/>
        </w:rPr>
        <w:t>二</w:t>
      </w:r>
      <w:r>
        <w:rPr>
          <w:rFonts w:hint="eastAsia" w:ascii="楷体" w:hAnsi="楷体" w:eastAsia="楷体"/>
          <w:sz w:val="32"/>
          <w:szCs w:val="32"/>
        </w:rPr>
        <w:t xml:space="preserve">）沟通                                  </w:t>
      </w:r>
    </w:p>
    <w:p w14:paraId="62C996F4">
      <w:pPr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1.沟通的含义、类型、过程及其功能。</w:t>
      </w:r>
    </w:p>
    <w:p w14:paraId="3B5C55BF">
      <w:pPr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2.有效沟通的障碍及克服障碍的方法。</w:t>
      </w:r>
    </w:p>
    <w:p w14:paraId="2D7F9E49">
      <w:pPr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3.冲突的含义、特征、类型及其原因，处理冲突的方法。</w:t>
      </w:r>
    </w:p>
    <w:p w14:paraId="0C16887D">
      <w:pPr>
        <w:spacing w:line="60" w:lineRule="auto"/>
        <w:rPr>
          <w:rFonts w:hint="eastAsia"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（十</w:t>
      </w:r>
      <w:r>
        <w:rPr>
          <w:rFonts w:hint="eastAsia" w:ascii="楷体" w:hAnsi="楷体" w:eastAsia="楷体"/>
          <w:sz w:val="32"/>
          <w:szCs w:val="32"/>
          <w:lang w:eastAsia="zh-CN"/>
        </w:rPr>
        <w:t>三</w:t>
      </w:r>
      <w:r>
        <w:rPr>
          <w:rFonts w:hint="eastAsia" w:ascii="楷体" w:hAnsi="楷体" w:eastAsia="楷体"/>
          <w:sz w:val="32"/>
          <w:szCs w:val="32"/>
        </w:rPr>
        <w:t xml:space="preserve">）控制的类型与过程                         </w:t>
      </w:r>
    </w:p>
    <w:p w14:paraId="6CAD4AF0">
      <w:pPr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1.控制</w:t>
      </w:r>
      <w:r>
        <w:rPr>
          <w:rFonts w:hint="eastAsia" w:ascii="仿宋" w:hAnsi="仿宋" w:eastAsia="仿宋"/>
          <w:sz w:val="28"/>
          <w:szCs w:val="28"/>
          <w:lang w:eastAsia="zh-CN"/>
        </w:rPr>
        <w:t>的</w:t>
      </w:r>
      <w:r>
        <w:rPr>
          <w:rFonts w:hint="eastAsia" w:ascii="仿宋" w:hAnsi="仿宋" w:eastAsia="仿宋"/>
          <w:sz w:val="28"/>
          <w:szCs w:val="28"/>
        </w:rPr>
        <w:t>内涵</w:t>
      </w:r>
      <w:r>
        <w:rPr>
          <w:rFonts w:hint="eastAsia" w:ascii="仿宋" w:hAnsi="仿宋" w:eastAsia="仿宋"/>
          <w:sz w:val="28"/>
          <w:szCs w:val="28"/>
          <w:lang w:eastAsia="zh-CN"/>
        </w:rPr>
        <w:t>、作用</w:t>
      </w:r>
      <w:r>
        <w:rPr>
          <w:rFonts w:hint="eastAsia" w:ascii="仿宋" w:hAnsi="仿宋" w:eastAsia="仿宋"/>
          <w:sz w:val="28"/>
          <w:szCs w:val="28"/>
        </w:rPr>
        <w:t>与原则。</w:t>
      </w:r>
    </w:p>
    <w:p w14:paraId="51A903D3">
      <w:pPr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2.控制的类型及前馈控制、现场控制、反馈控制的优缺点。</w:t>
      </w:r>
    </w:p>
    <w:p w14:paraId="79A82609">
      <w:pPr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3.控制的过程。</w:t>
      </w:r>
    </w:p>
    <w:p w14:paraId="14C1B17C">
      <w:pPr>
        <w:rPr>
          <w:rFonts w:cs="宋体"/>
          <w:b/>
        </w:rPr>
      </w:pPr>
      <w:r>
        <w:rPr>
          <w:rFonts w:hint="eastAsia" w:ascii="楷体" w:hAnsi="楷体" w:eastAsia="楷体"/>
          <w:sz w:val="32"/>
          <w:szCs w:val="32"/>
        </w:rPr>
        <w:t>（十</w:t>
      </w:r>
      <w:r>
        <w:rPr>
          <w:rFonts w:hint="eastAsia" w:ascii="楷体" w:hAnsi="楷体" w:eastAsia="楷体"/>
          <w:sz w:val="32"/>
          <w:szCs w:val="32"/>
          <w:lang w:eastAsia="zh-CN"/>
        </w:rPr>
        <w:t>四</w:t>
      </w:r>
      <w:r>
        <w:rPr>
          <w:rFonts w:hint="eastAsia" w:ascii="楷体" w:hAnsi="楷体" w:eastAsia="楷体"/>
          <w:sz w:val="32"/>
          <w:szCs w:val="32"/>
        </w:rPr>
        <w:t xml:space="preserve">）控制的方法与技术          </w:t>
      </w:r>
      <w:r>
        <w:rPr>
          <w:rFonts w:hint="eastAsia" w:cs="宋体"/>
          <w:b/>
        </w:rPr>
        <w:t xml:space="preserve">               </w:t>
      </w:r>
    </w:p>
    <w:p w14:paraId="3A9DB3FE">
      <w:pPr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1.层级控制、市场控制、团体控制的含义与作用。</w:t>
      </w:r>
    </w:p>
    <w:p w14:paraId="568AC642">
      <w:pPr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2.全面质量管理</w:t>
      </w:r>
      <w:r>
        <w:rPr>
          <w:rFonts w:hint="eastAsia" w:ascii="仿宋" w:hAnsi="仿宋" w:eastAsia="仿宋"/>
          <w:sz w:val="28"/>
          <w:szCs w:val="28"/>
          <w:lang w:eastAsia="zh-CN"/>
        </w:rPr>
        <w:t>的要求及实施原则</w:t>
      </w:r>
      <w:r>
        <w:rPr>
          <w:rFonts w:hint="eastAsia" w:ascii="仿宋" w:hAnsi="仿宋" w:eastAsia="仿宋"/>
          <w:sz w:val="28"/>
          <w:szCs w:val="28"/>
        </w:rPr>
        <w:t>、</w:t>
      </w:r>
      <w:r>
        <w:rPr>
          <w:rFonts w:hint="eastAsia" w:ascii="仿宋" w:hAnsi="仿宋" w:eastAsia="仿宋"/>
          <w:sz w:val="28"/>
          <w:szCs w:val="28"/>
          <w:lang w:eastAsia="zh-CN"/>
        </w:rPr>
        <w:t>平衡计分卡的内涵</w:t>
      </w:r>
      <w:r>
        <w:rPr>
          <w:rFonts w:hint="eastAsia" w:ascii="仿宋" w:hAnsi="仿宋" w:eastAsia="仿宋"/>
          <w:sz w:val="28"/>
          <w:szCs w:val="28"/>
        </w:rPr>
        <w:t>。</w:t>
      </w:r>
    </w:p>
    <w:p w14:paraId="41379E02">
      <w:pPr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3.信息技术在控制中的作用。</w:t>
      </w:r>
    </w:p>
    <w:p w14:paraId="433B7774">
      <w:pPr>
        <w:spacing w:line="60" w:lineRule="auto"/>
        <w:rPr>
          <w:rFonts w:hint="eastAsia"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（十</w:t>
      </w:r>
      <w:r>
        <w:rPr>
          <w:rFonts w:hint="eastAsia" w:ascii="楷体" w:hAnsi="楷体" w:eastAsia="楷体"/>
          <w:sz w:val="32"/>
          <w:szCs w:val="32"/>
          <w:lang w:eastAsia="zh-CN"/>
        </w:rPr>
        <w:t>五</w:t>
      </w:r>
      <w:r>
        <w:rPr>
          <w:rFonts w:hint="eastAsia" w:ascii="楷体" w:hAnsi="楷体" w:eastAsia="楷体"/>
          <w:sz w:val="32"/>
          <w:szCs w:val="32"/>
        </w:rPr>
        <w:t>）风险控制与危机管理</w:t>
      </w:r>
    </w:p>
    <w:p w14:paraId="1E627977">
      <w:pPr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1.风险管理的目标、风险识别的过程、风险识别的方法。</w:t>
      </w:r>
    </w:p>
    <w:p w14:paraId="608E820D">
      <w:pPr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2.风险评估的</w:t>
      </w:r>
      <w:r>
        <w:rPr>
          <w:rFonts w:hint="eastAsia" w:ascii="仿宋" w:hAnsi="仿宋" w:eastAsia="仿宋"/>
          <w:sz w:val="28"/>
          <w:szCs w:val="28"/>
          <w:lang w:eastAsia="zh-CN"/>
        </w:rPr>
        <w:t>原则</w:t>
      </w:r>
      <w:r>
        <w:rPr>
          <w:rFonts w:hint="eastAsia" w:ascii="仿宋" w:hAnsi="仿宋" w:eastAsia="仿宋"/>
          <w:sz w:val="28"/>
          <w:szCs w:val="28"/>
        </w:rPr>
        <w:t>与方法，控制风险的策略。</w:t>
      </w:r>
    </w:p>
    <w:p w14:paraId="0CC44B70">
      <w:pPr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3.危机含义与特征，危机管理的流程。</w:t>
      </w:r>
    </w:p>
    <w:p w14:paraId="11E9F578">
      <w:pPr>
        <w:spacing w:line="60" w:lineRule="auto"/>
        <w:rPr>
          <w:rFonts w:hint="eastAsia"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（十</w:t>
      </w:r>
      <w:r>
        <w:rPr>
          <w:rFonts w:hint="eastAsia" w:ascii="楷体" w:hAnsi="楷体" w:eastAsia="楷体"/>
          <w:sz w:val="32"/>
          <w:szCs w:val="32"/>
          <w:lang w:eastAsia="zh-CN"/>
        </w:rPr>
        <w:t>六</w:t>
      </w:r>
      <w:r>
        <w:rPr>
          <w:rFonts w:hint="eastAsia" w:ascii="楷体" w:hAnsi="楷体" w:eastAsia="楷体"/>
          <w:sz w:val="32"/>
          <w:szCs w:val="32"/>
        </w:rPr>
        <w:t>）创新原理</w:t>
      </w:r>
    </w:p>
    <w:p w14:paraId="32897EEB">
      <w:pPr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1.管理创新的内涵，维持与创新关系</w:t>
      </w:r>
    </w:p>
    <w:p w14:paraId="7E6BFDF0">
      <w:pPr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2.管理创新的类型与基本内容。</w:t>
      </w:r>
    </w:p>
    <w:p w14:paraId="546D2AD9">
      <w:pPr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3.创新过程。</w:t>
      </w:r>
    </w:p>
    <w:p w14:paraId="6B442F8D">
      <w:pPr>
        <w:spacing w:line="60" w:lineRule="auto"/>
        <w:rPr>
          <w:rFonts w:hint="eastAsia"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（十</w:t>
      </w:r>
      <w:r>
        <w:rPr>
          <w:rFonts w:hint="eastAsia" w:ascii="楷体" w:hAnsi="楷体" w:eastAsia="楷体"/>
          <w:sz w:val="32"/>
          <w:szCs w:val="32"/>
          <w:lang w:eastAsia="zh-CN"/>
        </w:rPr>
        <w:t>七</w:t>
      </w:r>
      <w:r>
        <w:rPr>
          <w:rFonts w:hint="eastAsia" w:ascii="楷体" w:hAnsi="楷体" w:eastAsia="楷体"/>
          <w:sz w:val="32"/>
          <w:szCs w:val="32"/>
        </w:rPr>
        <w:t>）组织创新</w:t>
      </w:r>
    </w:p>
    <w:p w14:paraId="2A34162A">
      <w:pPr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1.组织变革的障碍，</w:t>
      </w:r>
      <w:r>
        <w:rPr>
          <w:rFonts w:hint="eastAsia" w:ascii="仿宋" w:hAnsi="仿宋" w:eastAsia="仿宋"/>
          <w:sz w:val="28"/>
          <w:szCs w:val="28"/>
          <w:lang w:eastAsia="zh-CN"/>
        </w:rPr>
        <w:t>组织变革的阶段和方式，</w:t>
      </w:r>
      <w:r>
        <w:rPr>
          <w:rFonts w:hint="eastAsia" w:ascii="仿宋" w:hAnsi="仿宋" w:eastAsia="仿宋"/>
          <w:sz w:val="28"/>
          <w:szCs w:val="28"/>
        </w:rPr>
        <w:t>组织变革管理。</w:t>
      </w:r>
    </w:p>
    <w:p w14:paraId="0C707F3D">
      <w:pPr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2.工业社会的企业制度结构特征、层级结构特征，网络化层级组织的基本特征。</w:t>
      </w:r>
    </w:p>
    <w:p w14:paraId="45EAE9D4">
      <w:pPr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3.工业社会中企业文化的功能、特点及知识经济条件下企业文化创新的方向。</w:t>
      </w:r>
    </w:p>
    <w:p w14:paraId="4C0A67ED">
      <w:pPr>
        <w:ind w:firstLine="280" w:firstLineChars="100"/>
        <w:rPr>
          <w:rFonts w:ascii="仿宋" w:hAnsi="仿宋" w:eastAsia="仿宋"/>
          <w:sz w:val="28"/>
          <w:szCs w:val="28"/>
        </w:rPr>
      </w:pPr>
    </w:p>
    <w:p w14:paraId="59DF4B80">
      <w:pPr>
        <w:spacing w:line="60" w:lineRule="auto"/>
        <w:rPr>
          <w:rFonts w:ascii="黑体" w:hAnsi="黑体" w:eastAsia="黑体"/>
          <w:b/>
          <w:bCs/>
          <w:sz w:val="32"/>
          <w:szCs w:val="32"/>
        </w:rPr>
      </w:pPr>
      <w:r>
        <w:rPr>
          <w:rFonts w:ascii="黑体" w:hAnsi="黑体" w:eastAsia="黑体"/>
          <w:b/>
          <w:bCs/>
          <w:sz w:val="32"/>
          <w:szCs w:val="32"/>
        </w:rPr>
        <w:t xml:space="preserve">    </w:t>
      </w:r>
      <w:r>
        <w:rPr>
          <w:rFonts w:hint="eastAsia" w:ascii="黑体" w:hAnsi="黑体" w:eastAsia="黑体"/>
          <w:b/>
          <w:bCs/>
          <w:sz w:val="32"/>
          <w:szCs w:val="32"/>
        </w:rPr>
        <w:t>三、参考书目</w:t>
      </w:r>
    </w:p>
    <w:p w14:paraId="37713540">
      <w:pPr>
        <w:spacing w:line="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1．《管理学》（第</w:t>
      </w:r>
      <w:r>
        <w:rPr>
          <w:rFonts w:hint="eastAsia" w:ascii="仿宋" w:hAnsi="仿宋" w:eastAsia="仿宋"/>
          <w:sz w:val="28"/>
          <w:szCs w:val="28"/>
          <w:lang w:eastAsia="zh-CN"/>
        </w:rPr>
        <w:t>二</w:t>
      </w:r>
      <w:r>
        <w:rPr>
          <w:rFonts w:hint="eastAsia" w:ascii="仿宋" w:hAnsi="仿宋" w:eastAsia="仿宋"/>
          <w:sz w:val="28"/>
          <w:szCs w:val="28"/>
        </w:rPr>
        <w:t>版），陈传明主编，高等教育出版社，</w:t>
      </w:r>
      <w:r>
        <w:rPr>
          <w:rFonts w:ascii="仿宋" w:hAnsi="仿宋" w:eastAsia="仿宋"/>
          <w:sz w:val="28"/>
          <w:szCs w:val="28"/>
        </w:rPr>
        <w:t>20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25</w:t>
      </w:r>
      <w:r>
        <w:rPr>
          <w:rFonts w:hint="eastAsia" w:ascii="仿宋" w:hAnsi="仿宋" w:eastAsia="仿宋"/>
          <w:sz w:val="28"/>
          <w:szCs w:val="28"/>
        </w:rPr>
        <w:t>年出版。</w:t>
      </w:r>
    </w:p>
    <w:p w14:paraId="47EA225A">
      <w:pPr>
        <w:spacing w:line="60" w:lineRule="auto"/>
        <w:ind w:firstLine="560" w:firstLineChars="200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2.《管理学》</w:t>
      </w:r>
      <w:r>
        <w:rPr>
          <w:rFonts w:hint="eastAsia" w:ascii="仿宋" w:hAnsi="仿宋" w:eastAsia="仿宋"/>
          <w:sz w:val="28"/>
          <w:szCs w:val="28"/>
        </w:rP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>
        <w:rPr>
          <w:rFonts w:hint="eastAsia" w:ascii="仿宋" w:hAnsi="仿宋" w:eastAsia="仿宋"/>
          <w:sz w:val="28"/>
          <w:szCs w:val="28"/>
        </w:rPr>
        <w:instrText xml:space="preserve">ADDIN CNKISM.UserStyle</w:instrText>
      </w:r>
      <w:r>
        <w:rPr>
          <w:rFonts w:hint="eastAsia" w:ascii="仿宋" w:hAnsi="仿宋" w:eastAsia="仿宋"/>
          <w:sz w:val="28"/>
          <w:szCs w:val="28"/>
        </w:rPr>
        <w:fldChar w:fldCharType="end"/>
      </w:r>
      <w:r>
        <w:rPr>
          <w:rFonts w:hint="eastAsia" w:ascii="仿宋" w:hAnsi="仿宋" w:eastAsia="仿宋"/>
          <w:sz w:val="28"/>
          <w:szCs w:val="28"/>
          <w:lang w:eastAsia="zh-CN"/>
        </w:rPr>
        <w:t>学习指南与练习，陈传明，龙静主编，</w:t>
      </w:r>
      <w:r>
        <w:rPr>
          <w:rFonts w:hint="eastAsia" w:ascii="仿宋" w:hAnsi="仿宋" w:eastAsia="仿宋"/>
          <w:sz w:val="28"/>
          <w:szCs w:val="28"/>
        </w:rPr>
        <w:t>高等教育出版社，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2019年出版。</w:t>
      </w:r>
    </w:p>
    <w:p w14:paraId="6B8E2EF0"/>
    <w:p w14:paraId="632D1585"/>
    <w:p w14:paraId="13733871"/>
    <w:p w14:paraId="30C5235D"/>
    <w:p w14:paraId="318E953E"/>
    <w:p w14:paraId="667056F9"/>
    <w:p w14:paraId="1D0F22C8"/>
    <w:p w14:paraId="695211CD">
      <w:pPr>
        <w:spacing w:line="60" w:lineRule="auto"/>
        <w:jc w:val="center"/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</w:pPr>
    </w:p>
    <w:p w14:paraId="74DDB818">
      <w:pPr>
        <w:spacing w:line="60" w:lineRule="auto"/>
        <w:jc w:val="center"/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</w:pPr>
    </w:p>
    <w:p w14:paraId="3AC9788D">
      <w:pPr>
        <w:spacing w:line="60" w:lineRule="auto"/>
        <w:jc w:val="center"/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</w:pPr>
    </w:p>
    <w:p w14:paraId="038EC103">
      <w:pPr>
        <w:spacing w:line="60" w:lineRule="auto"/>
        <w:jc w:val="center"/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</w:pPr>
    </w:p>
    <w:p w14:paraId="577DB3B7">
      <w:pPr>
        <w:spacing w:line="60" w:lineRule="auto"/>
        <w:jc w:val="center"/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</w:pPr>
    </w:p>
    <w:p w14:paraId="4BB7BC29">
      <w:pPr>
        <w:spacing w:line="60" w:lineRule="auto"/>
        <w:jc w:val="center"/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</w:pPr>
    </w:p>
    <w:p w14:paraId="06B071CB">
      <w:pPr>
        <w:spacing w:line="60" w:lineRule="auto"/>
        <w:jc w:val="center"/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</w:pPr>
      <w:bookmarkStart w:id="1" w:name="_GoBack"/>
      <w:bookmarkEnd w:id="1"/>
    </w:p>
    <w:p w14:paraId="595E7DF8">
      <w:pPr>
        <w:spacing w:line="60" w:lineRule="auto"/>
        <w:jc w:val="center"/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</w:pPr>
    </w:p>
    <w:p w14:paraId="5C7D3892">
      <w:pPr>
        <w:spacing w:line="60" w:lineRule="auto"/>
        <w:jc w:val="center"/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</w:pPr>
    </w:p>
    <w:p w14:paraId="40F73C4C">
      <w:pPr>
        <w:spacing w:line="60" w:lineRule="auto"/>
        <w:jc w:val="center"/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</w:pPr>
    </w:p>
    <w:p w14:paraId="22748288">
      <w:pPr>
        <w:spacing w:line="60" w:lineRule="auto"/>
        <w:jc w:val="center"/>
        <w:rPr>
          <w:rFonts w:hint="eastAsia" w:ascii="方正小标宋简体" w:hAnsi="方正小标宋简体" w:eastAsia="方正小标宋简体" w:cs="方正小标宋简体"/>
          <w:bCs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  <w:t>药事管理学</w:t>
      </w: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  <w:lang w:val="en-US" w:eastAsia="zh-CN"/>
        </w:rPr>
        <w:t xml:space="preserve"> 考试大纲</w:t>
      </w:r>
    </w:p>
    <w:p w14:paraId="64B76E2E">
      <w:pPr>
        <w:spacing w:line="60" w:lineRule="auto"/>
        <w:jc w:val="center"/>
        <w:rPr>
          <w:rFonts w:hint="eastAsia" w:ascii="方正小标宋简体" w:hAnsi="方正小标宋简体" w:eastAsia="方正小标宋简体" w:cs="方正小标宋简体"/>
          <w:bCs/>
          <w:sz w:val="36"/>
          <w:szCs w:val="36"/>
          <w:lang w:val="en-US" w:eastAsia="zh-CN"/>
        </w:rPr>
      </w:pPr>
    </w:p>
    <w:p w14:paraId="6AC05C38">
      <w:pPr>
        <w:spacing w:line="60" w:lineRule="auto"/>
        <w:jc w:val="left"/>
        <w:rPr>
          <w:rFonts w:hint="eastAsia" w:ascii="黑体" w:hAnsi="黑体" w:eastAsia="黑体"/>
          <w:bCs/>
          <w:sz w:val="32"/>
          <w:szCs w:val="32"/>
        </w:rPr>
      </w:pPr>
      <w:r>
        <w:rPr>
          <w:rFonts w:ascii="黑体" w:hAnsi="黑体" w:eastAsia="黑体"/>
          <w:bCs/>
          <w:sz w:val="32"/>
          <w:szCs w:val="32"/>
        </w:rPr>
        <w:t xml:space="preserve">  </w:t>
      </w:r>
      <w:r>
        <w:rPr>
          <w:rFonts w:hint="eastAsia" w:ascii="黑体" w:hAnsi="黑体" w:eastAsia="黑体"/>
          <w:bCs/>
          <w:sz w:val="32"/>
          <w:szCs w:val="32"/>
        </w:rPr>
        <w:t xml:space="preserve"> </w:t>
      </w:r>
      <w:r>
        <w:rPr>
          <w:rFonts w:hint="eastAsia" w:ascii="黑体" w:hAnsi="黑体" w:eastAsia="黑体"/>
          <w:b/>
          <w:bCs/>
          <w:sz w:val="32"/>
          <w:szCs w:val="32"/>
        </w:rPr>
        <w:t>一、考试形式与试卷结构</w:t>
      </w:r>
    </w:p>
    <w:p w14:paraId="709EAEC0">
      <w:pPr>
        <w:spacing w:line="60" w:lineRule="auto"/>
        <w:ind w:firstLine="320" w:firstLineChars="100"/>
        <w:rPr>
          <w:rFonts w:hint="eastAsia"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（一）试卷满分及考试时间</w:t>
      </w:r>
    </w:p>
    <w:p w14:paraId="12A2F6DC">
      <w:pPr>
        <w:spacing w:line="60" w:lineRule="auto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试卷满分为</w:t>
      </w:r>
      <w:r>
        <w:rPr>
          <w:rFonts w:ascii="仿宋" w:hAnsi="仿宋" w:eastAsia="仿宋"/>
          <w:sz w:val="32"/>
          <w:szCs w:val="32"/>
        </w:rPr>
        <w:t>100</w:t>
      </w:r>
      <w:r>
        <w:rPr>
          <w:rFonts w:hint="eastAsia" w:ascii="仿宋" w:hAnsi="仿宋" w:eastAsia="仿宋"/>
          <w:sz w:val="32"/>
          <w:szCs w:val="32"/>
        </w:rPr>
        <w:t>分，考试时间为</w:t>
      </w:r>
      <w:r>
        <w:rPr>
          <w:rFonts w:ascii="仿宋" w:hAnsi="仿宋" w:eastAsia="仿宋"/>
          <w:sz w:val="32"/>
          <w:szCs w:val="32"/>
        </w:rPr>
        <w:t>60</w:t>
      </w:r>
      <w:r>
        <w:rPr>
          <w:rFonts w:hint="eastAsia" w:ascii="仿宋" w:hAnsi="仿宋" w:eastAsia="仿宋"/>
          <w:sz w:val="32"/>
          <w:szCs w:val="32"/>
        </w:rPr>
        <w:t>分钟。</w:t>
      </w:r>
    </w:p>
    <w:p w14:paraId="10E51A2F">
      <w:pPr>
        <w:spacing w:line="60" w:lineRule="auto"/>
        <w:ind w:firstLine="320" w:firstLineChars="100"/>
        <w:rPr>
          <w:rFonts w:hint="eastAsia"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（二）答题方式</w:t>
      </w:r>
    </w:p>
    <w:p w14:paraId="402A42C2">
      <w:pPr>
        <w:spacing w:line="60" w:lineRule="auto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闭卷、笔试。</w:t>
      </w:r>
    </w:p>
    <w:p w14:paraId="304FE378">
      <w:pPr>
        <w:spacing w:line="60" w:lineRule="auto"/>
        <w:ind w:firstLine="320" w:firstLineChars="100"/>
        <w:rPr>
          <w:rFonts w:hint="eastAsia"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（三）题型结构</w:t>
      </w:r>
    </w:p>
    <w:p w14:paraId="467B830E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1</w:t>
      </w:r>
      <w:r>
        <w:rPr>
          <w:rFonts w:hint="eastAsia" w:ascii="仿宋" w:hAnsi="仿宋" w:eastAsia="仿宋"/>
          <w:sz w:val="32"/>
          <w:szCs w:val="32"/>
        </w:rPr>
        <w:t>．名词解释：共5题，每题</w:t>
      </w:r>
      <w:r>
        <w:rPr>
          <w:rFonts w:ascii="仿宋" w:hAnsi="仿宋" w:eastAsia="仿宋"/>
          <w:sz w:val="32"/>
          <w:szCs w:val="32"/>
        </w:rPr>
        <w:t>3</w:t>
      </w:r>
      <w:r>
        <w:rPr>
          <w:rFonts w:hint="eastAsia" w:ascii="仿宋" w:hAnsi="仿宋" w:eastAsia="仿宋"/>
          <w:sz w:val="32"/>
          <w:szCs w:val="32"/>
        </w:rPr>
        <w:t>分，共1</w:t>
      </w:r>
      <w:r>
        <w:rPr>
          <w:rFonts w:ascii="仿宋" w:hAnsi="仿宋" w:eastAsia="仿宋"/>
          <w:sz w:val="32"/>
          <w:szCs w:val="32"/>
        </w:rPr>
        <w:t>5</w:t>
      </w:r>
      <w:r>
        <w:rPr>
          <w:rFonts w:hint="eastAsia" w:ascii="仿宋" w:hAnsi="仿宋" w:eastAsia="仿宋"/>
          <w:sz w:val="32"/>
          <w:szCs w:val="32"/>
        </w:rPr>
        <w:t>分</w:t>
      </w:r>
    </w:p>
    <w:p w14:paraId="0B5F9937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2</w:t>
      </w:r>
      <w:r>
        <w:rPr>
          <w:rFonts w:hint="eastAsia" w:ascii="仿宋" w:hAnsi="仿宋" w:eastAsia="仿宋"/>
          <w:sz w:val="32"/>
          <w:szCs w:val="32"/>
        </w:rPr>
        <w:t>. 简答题：共5题，每题5分，共</w:t>
      </w:r>
      <w:r>
        <w:rPr>
          <w:rFonts w:ascii="仿宋" w:hAnsi="仿宋" w:eastAsia="仿宋"/>
          <w:sz w:val="32"/>
          <w:szCs w:val="32"/>
        </w:rPr>
        <w:t>25</w:t>
      </w:r>
      <w:r>
        <w:rPr>
          <w:rFonts w:hint="eastAsia" w:ascii="仿宋" w:hAnsi="仿宋" w:eastAsia="仿宋"/>
          <w:sz w:val="32"/>
          <w:szCs w:val="32"/>
        </w:rPr>
        <w:t>分</w:t>
      </w:r>
    </w:p>
    <w:p w14:paraId="259B00D4">
      <w:pPr>
        <w:tabs>
          <w:tab w:val="left" w:pos="3600"/>
        </w:tabs>
        <w:autoSpaceDE w:val="0"/>
        <w:autoSpaceDN w:val="0"/>
        <w:adjustRightInd w:val="0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3</w:t>
      </w:r>
      <w:r>
        <w:rPr>
          <w:rFonts w:hint="eastAsia" w:ascii="仿宋" w:hAnsi="仿宋" w:eastAsia="仿宋"/>
          <w:sz w:val="32"/>
          <w:szCs w:val="32"/>
        </w:rPr>
        <w:t>. 论述题：共4题，每题</w:t>
      </w:r>
      <w:r>
        <w:rPr>
          <w:rFonts w:ascii="仿宋" w:hAnsi="仿宋" w:eastAsia="仿宋"/>
          <w:sz w:val="32"/>
          <w:szCs w:val="32"/>
        </w:rPr>
        <w:t>15</w:t>
      </w:r>
      <w:r>
        <w:rPr>
          <w:rFonts w:hint="eastAsia" w:ascii="仿宋" w:hAnsi="仿宋" w:eastAsia="仿宋"/>
          <w:sz w:val="32"/>
          <w:szCs w:val="32"/>
        </w:rPr>
        <w:t>分，共</w:t>
      </w:r>
      <w:r>
        <w:rPr>
          <w:rFonts w:ascii="仿宋" w:hAnsi="仿宋" w:eastAsia="仿宋"/>
          <w:sz w:val="32"/>
          <w:szCs w:val="32"/>
        </w:rPr>
        <w:t>6</w:t>
      </w:r>
      <w:r>
        <w:rPr>
          <w:rFonts w:hint="eastAsia" w:ascii="仿宋" w:hAnsi="仿宋" w:eastAsia="仿宋"/>
          <w:sz w:val="32"/>
          <w:szCs w:val="32"/>
        </w:rPr>
        <w:t>0分</w:t>
      </w:r>
    </w:p>
    <w:p w14:paraId="45F9F5CE">
      <w:pPr>
        <w:spacing w:line="60" w:lineRule="auto"/>
        <w:ind w:firstLine="321" w:firstLineChars="1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黑体" w:hAnsi="黑体" w:eastAsia="黑体"/>
          <w:b/>
          <w:bCs/>
          <w:sz w:val="32"/>
          <w:szCs w:val="32"/>
        </w:rPr>
        <w:t>二、考查内容</w:t>
      </w:r>
    </w:p>
    <w:p w14:paraId="0ABF2680">
      <w:pPr>
        <w:spacing w:line="60" w:lineRule="auto"/>
        <w:ind w:firstLine="320" w:firstLineChars="100"/>
        <w:rPr>
          <w:rFonts w:hint="eastAsia"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（一）导论</w:t>
      </w:r>
    </w:p>
    <w:p w14:paraId="6234A52F">
      <w:pPr>
        <w:spacing w:line="60" w:lineRule="auto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1.药品概述 </w:t>
      </w:r>
    </w:p>
    <w:p w14:paraId="18B1EE1E">
      <w:pPr>
        <w:spacing w:line="60" w:lineRule="auto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</w:t>
      </w:r>
      <w:r>
        <w:rPr>
          <w:rFonts w:ascii="仿宋" w:hAnsi="仿宋" w:eastAsia="仿宋"/>
          <w:sz w:val="28"/>
          <w:szCs w:val="28"/>
        </w:rPr>
        <w:t>.</w:t>
      </w:r>
      <w:r>
        <w:rPr>
          <w:rFonts w:hint="eastAsia" w:ascii="仿宋" w:hAnsi="仿宋" w:eastAsia="仿宋"/>
          <w:sz w:val="28"/>
          <w:szCs w:val="28"/>
        </w:rPr>
        <w:t xml:space="preserve">药品标准 </w:t>
      </w:r>
    </w:p>
    <w:p w14:paraId="7D08B9E7">
      <w:pPr>
        <w:spacing w:line="60" w:lineRule="auto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3.药事管理概述  </w:t>
      </w:r>
    </w:p>
    <w:p w14:paraId="52D0DE49">
      <w:pPr>
        <w:spacing w:line="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4.药事管理学概述 </w:t>
      </w:r>
      <w:r>
        <w:rPr>
          <w:rFonts w:ascii="仿宋" w:hAnsi="仿宋" w:eastAsia="仿宋"/>
          <w:sz w:val="28"/>
          <w:szCs w:val="28"/>
        </w:rPr>
        <w:t xml:space="preserve"> </w:t>
      </w:r>
    </w:p>
    <w:p w14:paraId="4C7B34D3">
      <w:pPr>
        <w:spacing w:line="60" w:lineRule="auto"/>
        <w:ind w:firstLine="320" w:firstLineChars="100"/>
        <w:rPr>
          <w:rFonts w:hint="eastAsia"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（二）药事管理的相关学科基础知识</w:t>
      </w:r>
    </w:p>
    <w:p w14:paraId="63597262">
      <w:pPr>
        <w:spacing w:line="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1.</w:t>
      </w:r>
      <w:r>
        <w:rPr>
          <w:rFonts w:hint="eastAsia" w:ascii="仿宋" w:hAnsi="仿宋" w:eastAsia="仿宋"/>
          <w:sz w:val="28"/>
          <w:szCs w:val="28"/>
        </w:rPr>
        <w:t>管理学与药事管理</w:t>
      </w:r>
    </w:p>
    <w:p w14:paraId="10917BE9">
      <w:pPr>
        <w:spacing w:line="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2.</w:t>
      </w:r>
      <w:r>
        <w:rPr>
          <w:rFonts w:hint="eastAsia" w:ascii="仿宋" w:hAnsi="仿宋" w:eastAsia="仿宋"/>
          <w:sz w:val="28"/>
          <w:szCs w:val="28"/>
        </w:rPr>
        <w:t>经济学与药事管理</w:t>
      </w:r>
    </w:p>
    <w:p w14:paraId="7C9C2F2D">
      <w:pPr>
        <w:spacing w:line="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3.</w:t>
      </w:r>
      <w:r>
        <w:rPr>
          <w:rFonts w:hint="eastAsia" w:ascii="仿宋" w:hAnsi="仿宋" w:eastAsia="仿宋"/>
          <w:sz w:val="28"/>
          <w:szCs w:val="28"/>
        </w:rPr>
        <w:t>药物流行病学与药事管理</w:t>
      </w:r>
    </w:p>
    <w:p w14:paraId="6ED49229">
      <w:pPr>
        <w:spacing w:line="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4.</w:t>
      </w:r>
      <w:r>
        <w:rPr>
          <w:rFonts w:hint="eastAsia" w:ascii="仿宋" w:hAnsi="仿宋" w:eastAsia="仿宋"/>
          <w:sz w:val="28"/>
          <w:szCs w:val="28"/>
        </w:rPr>
        <w:t>循证医学与药事管理</w:t>
      </w:r>
    </w:p>
    <w:p w14:paraId="501F1C14">
      <w:pPr>
        <w:spacing w:line="60" w:lineRule="auto"/>
        <w:ind w:firstLine="320" w:firstLineChars="100"/>
        <w:rPr>
          <w:rFonts w:hint="eastAsia"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（三）药事监管组织</w:t>
      </w:r>
    </w:p>
    <w:p w14:paraId="0FF63967">
      <w:pPr>
        <w:spacing w:line="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1.</w:t>
      </w:r>
      <w:r>
        <w:rPr>
          <w:rFonts w:hint="eastAsia" w:ascii="仿宋" w:hAnsi="仿宋" w:eastAsia="仿宋"/>
          <w:sz w:val="28"/>
          <w:szCs w:val="28"/>
        </w:rPr>
        <w:t>药事监管组织体制概述</w:t>
      </w:r>
      <w:r>
        <w:rPr>
          <w:rFonts w:ascii="仿宋" w:hAnsi="仿宋" w:eastAsia="仿宋"/>
          <w:sz w:val="28"/>
          <w:szCs w:val="28"/>
        </w:rPr>
        <w:t xml:space="preserve"> </w:t>
      </w:r>
    </w:p>
    <w:p w14:paraId="7404EA40">
      <w:pPr>
        <w:spacing w:line="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2.</w:t>
      </w:r>
      <w:r>
        <w:rPr>
          <w:rFonts w:hint="eastAsia" w:ascii="仿宋" w:hAnsi="仿宋" w:eastAsia="仿宋"/>
          <w:sz w:val="28"/>
          <w:szCs w:val="28"/>
        </w:rPr>
        <w:t>药事监管组织职责</w:t>
      </w:r>
    </w:p>
    <w:p w14:paraId="787D1AD1">
      <w:pPr>
        <w:spacing w:line="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3.</w:t>
      </w:r>
      <w:r>
        <w:rPr>
          <w:rFonts w:hint="eastAsia" w:ascii="仿宋" w:hAnsi="仿宋" w:eastAsia="仿宋"/>
          <w:sz w:val="28"/>
          <w:szCs w:val="28"/>
        </w:rPr>
        <w:t>药事行政执法</w:t>
      </w:r>
      <w:r>
        <w:rPr>
          <w:rFonts w:ascii="仿宋" w:hAnsi="仿宋" w:eastAsia="仿宋"/>
          <w:sz w:val="28"/>
          <w:szCs w:val="28"/>
        </w:rPr>
        <w:t xml:space="preserve"> </w:t>
      </w:r>
    </w:p>
    <w:p w14:paraId="6FB6DEAB">
      <w:pPr>
        <w:spacing w:line="60" w:lineRule="auto"/>
        <w:ind w:firstLine="320" w:firstLineChars="100"/>
        <w:rPr>
          <w:rFonts w:hint="eastAsia"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（四</w:t>
      </w:r>
      <w:r>
        <w:rPr>
          <w:rFonts w:ascii="楷体" w:hAnsi="楷体" w:eastAsia="楷体"/>
          <w:sz w:val="32"/>
          <w:szCs w:val="32"/>
        </w:rPr>
        <w:t>）</w:t>
      </w:r>
      <w:r>
        <w:rPr>
          <w:rFonts w:hint="eastAsia" w:ascii="楷体" w:hAnsi="楷体" w:eastAsia="楷体"/>
          <w:sz w:val="32"/>
          <w:szCs w:val="32"/>
        </w:rPr>
        <w:t>药品管理立法</w:t>
      </w:r>
    </w:p>
    <w:p w14:paraId="0C1FA990">
      <w:pPr>
        <w:spacing w:line="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1.</w:t>
      </w:r>
      <w:r>
        <w:rPr>
          <w:rFonts w:hint="eastAsia" w:ascii="仿宋" w:hAnsi="仿宋" w:eastAsia="仿宋"/>
          <w:sz w:val="28"/>
          <w:szCs w:val="28"/>
        </w:rPr>
        <w:t>药品管理立法概述</w:t>
      </w:r>
    </w:p>
    <w:p w14:paraId="75030176">
      <w:pPr>
        <w:spacing w:line="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2.</w:t>
      </w:r>
      <w:r>
        <w:rPr>
          <w:rFonts w:hint="eastAsia" w:ascii="仿宋" w:hAnsi="仿宋" w:eastAsia="仿宋"/>
          <w:sz w:val="28"/>
          <w:szCs w:val="28"/>
        </w:rPr>
        <w:t>药品管理法的制定和实施</w:t>
      </w:r>
      <w:r>
        <w:rPr>
          <w:rFonts w:ascii="仿宋" w:hAnsi="仿宋" w:eastAsia="仿宋"/>
          <w:sz w:val="28"/>
          <w:szCs w:val="28"/>
        </w:rPr>
        <w:t xml:space="preserve"> </w:t>
      </w:r>
    </w:p>
    <w:p w14:paraId="0F5BF79E">
      <w:pPr>
        <w:spacing w:line="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3.</w:t>
      </w:r>
      <w:r>
        <w:rPr>
          <w:rFonts w:hint="eastAsia" w:ascii="仿宋" w:hAnsi="仿宋" w:eastAsia="仿宋"/>
          <w:sz w:val="28"/>
          <w:szCs w:val="28"/>
        </w:rPr>
        <w:t>《药品管理法》的主要内容</w:t>
      </w:r>
      <w:r>
        <w:rPr>
          <w:rFonts w:ascii="仿宋" w:hAnsi="仿宋" w:eastAsia="仿宋"/>
          <w:sz w:val="28"/>
          <w:szCs w:val="28"/>
        </w:rPr>
        <w:t xml:space="preserve"> </w:t>
      </w:r>
    </w:p>
    <w:p w14:paraId="0672DB36">
      <w:pPr>
        <w:spacing w:line="60" w:lineRule="auto"/>
        <w:ind w:firstLine="320" w:firstLineChars="100"/>
        <w:rPr>
          <w:rFonts w:hint="eastAsia"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（五）药品注册管理</w:t>
      </w:r>
    </w:p>
    <w:p w14:paraId="4AD642C9">
      <w:pPr>
        <w:spacing w:line="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1.药品注册管理概述</w:t>
      </w:r>
      <w:r>
        <w:rPr>
          <w:rFonts w:ascii="Calibri" w:hAnsi="Calibri" w:eastAsia="仿宋" w:cs="Calibri"/>
          <w:sz w:val="28"/>
          <w:szCs w:val="28"/>
        </w:rPr>
        <w:t> </w:t>
      </w:r>
    </w:p>
    <w:p w14:paraId="18CCE812">
      <w:pPr>
        <w:spacing w:line="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2.药品注册的申报与审批</w:t>
      </w:r>
      <w:r>
        <w:rPr>
          <w:rFonts w:ascii="Calibri" w:hAnsi="Calibri" w:eastAsia="仿宋" w:cs="Calibri"/>
          <w:sz w:val="28"/>
          <w:szCs w:val="28"/>
        </w:rPr>
        <w:t> </w:t>
      </w:r>
    </w:p>
    <w:p w14:paraId="07EFC638">
      <w:pPr>
        <w:spacing w:line="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3.新药研究的质量管理</w:t>
      </w:r>
      <w:r>
        <w:rPr>
          <w:rFonts w:ascii="Calibri" w:hAnsi="Calibri" w:eastAsia="仿宋" w:cs="Calibri"/>
          <w:sz w:val="28"/>
          <w:szCs w:val="28"/>
        </w:rPr>
        <w:t> </w:t>
      </w:r>
    </w:p>
    <w:p w14:paraId="0C6FE6FF">
      <w:pPr>
        <w:spacing w:line="60" w:lineRule="auto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4.药品注册管理的其他规定和法律责任</w:t>
      </w:r>
      <w:r>
        <w:rPr>
          <w:rFonts w:ascii="仿宋" w:hAnsi="仿宋" w:eastAsia="仿宋"/>
          <w:sz w:val="28"/>
          <w:szCs w:val="28"/>
        </w:rPr>
        <w:t xml:space="preserve"> </w:t>
      </w:r>
    </w:p>
    <w:p w14:paraId="3BFD6FF2">
      <w:pPr>
        <w:spacing w:line="60" w:lineRule="auto"/>
        <w:ind w:firstLine="320" w:firstLineChars="100"/>
        <w:rPr>
          <w:rFonts w:hint="eastAsia"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（六）药品生产管理</w:t>
      </w:r>
    </w:p>
    <w:p w14:paraId="4C2D2E90">
      <w:pPr>
        <w:spacing w:line="60" w:lineRule="auto"/>
        <w:ind w:firstLine="560" w:firstLineChars="200"/>
        <w:rPr>
          <w:rFonts w:ascii="仿宋" w:hAnsi="仿宋" w:eastAsia="仿宋"/>
          <w:sz w:val="28"/>
          <w:szCs w:val="28"/>
        </w:rPr>
      </w:pPr>
      <w:bookmarkStart w:id="0" w:name="_Hlk148795443"/>
      <w:r>
        <w:rPr>
          <w:rFonts w:hint="eastAsia" w:ascii="仿宋" w:hAnsi="仿宋" w:eastAsia="仿宋"/>
          <w:sz w:val="28"/>
          <w:szCs w:val="28"/>
        </w:rPr>
        <w:t xml:space="preserve">1.药品生产概述  </w:t>
      </w:r>
    </w:p>
    <w:p w14:paraId="146C41FC">
      <w:pPr>
        <w:spacing w:line="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2.《药品生产质量管理规范》及其管理</w:t>
      </w:r>
    </w:p>
    <w:p w14:paraId="74DDD1C0">
      <w:pPr>
        <w:spacing w:line="60" w:lineRule="auto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3.药品生产监督管理</w:t>
      </w:r>
    </w:p>
    <w:bookmarkEnd w:id="0"/>
    <w:p w14:paraId="029E3A65">
      <w:pPr>
        <w:spacing w:line="60" w:lineRule="auto"/>
        <w:ind w:firstLine="320" w:firstLineChars="100"/>
        <w:rPr>
          <w:rFonts w:hint="eastAsia"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（七）药品经营管理</w:t>
      </w:r>
    </w:p>
    <w:p w14:paraId="3BB6A326">
      <w:pPr>
        <w:spacing w:line="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1.药品经营概述</w:t>
      </w:r>
    </w:p>
    <w:p w14:paraId="3569424C">
      <w:pPr>
        <w:spacing w:line="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2.药品经营许可制度与药品经营许可证管理</w:t>
      </w:r>
    </w:p>
    <w:p w14:paraId="73372F3D">
      <w:pPr>
        <w:spacing w:line="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3.我国药品经营质量管理规范（GSP）概述、主要内容</w:t>
      </w:r>
    </w:p>
    <w:p w14:paraId="271C1B31">
      <w:pPr>
        <w:spacing w:line="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4.网络药品经营管理</w:t>
      </w:r>
    </w:p>
    <w:p w14:paraId="221F1F81">
      <w:pPr>
        <w:spacing w:line="60" w:lineRule="auto"/>
        <w:ind w:firstLine="320" w:firstLineChars="100"/>
        <w:rPr>
          <w:rFonts w:hint="eastAsia"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（八）医疗机构药事管理</w:t>
      </w:r>
    </w:p>
    <w:p w14:paraId="20864902">
      <w:pPr>
        <w:spacing w:line="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1.医疗机构药事管理概述</w:t>
      </w:r>
      <w:r>
        <w:rPr>
          <w:rFonts w:ascii="Calibri" w:hAnsi="Calibri" w:eastAsia="仿宋" w:cs="Calibri"/>
          <w:sz w:val="28"/>
          <w:szCs w:val="28"/>
        </w:rPr>
        <w:t> </w:t>
      </w:r>
    </w:p>
    <w:p w14:paraId="5AAB8786">
      <w:pPr>
        <w:spacing w:line="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2.药品供应管理</w:t>
      </w:r>
      <w:r>
        <w:rPr>
          <w:rFonts w:ascii="Calibri" w:hAnsi="Calibri" w:eastAsia="仿宋" w:cs="Calibri"/>
          <w:sz w:val="28"/>
          <w:szCs w:val="28"/>
        </w:rPr>
        <w:t> </w:t>
      </w:r>
      <w:r>
        <w:rPr>
          <w:rFonts w:hint="eastAsia" w:ascii="仿宋" w:hAnsi="仿宋" w:eastAsia="仿宋"/>
          <w:sz w:val="28"/>
          <w:szCs w:val="28"/>
        </w:rPr>
        <w:t>讲解药品采购管理、药品质量验收管理</w:t>
      </w:r>
    </w:p>
    <w:p w14:paraId="017B098F">
      <w:pPr>
        <w:spacing w:line="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3.医疗机构制剂生产管理</w:t>
      </w:r>
      <w:r>
        <w:rPr>
          <w:rFonts w:ascii="Calibri" w:hAnsi="Calibri" w:eastAsia="仿宋" w:cs="Calibri"/>
          <w:sz w:val="28"/>
          <w:szCs w:val="28"/>
        </w:rPr>
        <w:t> </w:t>
      </w:r>
    </w:p>
    <w:p w14:paraId="682A594F">
      <w:pPr>
        <w:spacing w:line="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4.药品调剂管理</w:t>
      </w:r>
    </w:p>
    <w:p w14:paraId="666A8414">
      <w:pPr>
        <w:spacing w:line="60" w:lineRule="auto"/>
        <w:ind w:firstLine="320" w:firstLineChars="100"/>
        <w:rPr>
          <w:rFonts w:hint="eastAsia"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（九）药物警戒</w:t>
      </w:r>
    </w:p>
    <w:p w14:paraId="53E1CDAF">
      <w:pPr>
        <w:spacing w:line="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1.</w:t>
      </w:r>
      <w:r>
        <w:rPr>
          <w:rFonts w:hint="eastAsia" w:ascii="仿宋" w:hAnsi="仿宋" w:eastAsia="仿宋"/>
          <w:sz w:val="28"/>
          <w:szCs w:val="28"/>
        </w:rPr>
        <w:t>药品不良反应概述</w:t>
      </w:r>
      <w:r>
        <w:rPr>
          <w:rFonts w:ascii="仿宋" w:hAnsi="仿宋" w:eastAsia="仿宋"/>
          <w:sz w:val="28"/>
          <w:szCs w:val="28"/>
        </w:rPr>
        <w:t xml:space="preserve"> </w:t>
      </w:r>
    </w:p>
    <w:p w14:paraId="189CA6A4">
      <w:pPr>
        <w:spacing w:line="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2.</w:t>
      </w:r>
      <w:r>
        <w:rPr>
          <w:rFonts w:hint="eastAsia" w:ascii="仿宋" w:hAnsi="仿宋" w:eastAsia="仿宋"/>
          <w:sz w:val="28"/>
          <w:szCs w:val="28"/>
        </w:rPr>
        <w:t>药品不良反应监测管理与监测方法</w:t>
      </w:r>
    </w:p>
    <w:p w14:paraId="76C80A62">
      <w:pPr>
        <w:spacing w:line="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3.</w:t>
      </w:r>
      <w:r>
        <w:rPr>
          <w:rFonts w:hint="eastAsia" w:ascii="仿宋" w:hAnsi="仿宋" w:eastAsia="仿宋"/>
          <w:sz w:val="28"/>
          <w:szCs w:val="28"/>
        </w:rPr>
        <w:t>药品不良反应报告处置及评价管理</w:t>
      </w:r>
    </w:p>
    <w:p w14:paraId="3CDACA81">
      <w:pPr>
        <w:spacing w:line="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4.</w:t>
      </w:r>
      <w:r>
        <w:rPr>
          <w:rFonts w:hint="eastAsia" w:ascii="仿宋" w:hAnsi="仿宋" w:eastAsia="仿宋"/>
          <w:sz w:val="28"/>
          <w:szCs w:val="28"/>
        </w:rPr>
        <w:t>药品上市后再评价</w:t>
      </w:r>
    </w:p>
    <w:p w14:paraId="64EC9ABF">
      <w:pPr>
        <w:spacing w:line="60" w:lineRule="auto"/>
        <w:ind w:firstLine="320" w:firstLineChars="100"/>
        <w:rPr>
          <w:rFonts w:hint="eastAsia"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（十）药品信息管理</w:t>
      </w:r>
    </w:p>
    <w:p w14:paraId="73317AA0">
      <w:pPr>
        <w:spacing w:line="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1.</w:t>
      </w:r>
      <w:r>
        <w:rPr>
          <w:rFonts w:hint="eastAsia" w:ascii="仿宋" w:hAnsi="仿宋" w:eastAsia="仿宋"/>
          <w:sz w:val="28"/>
          <w:szCs w:val="28"/>
        </w:rPr>
        <w:t>药品信息管理概述</w:t>
      </w:r>
      <w:r>
        <w:rPr>
          <w:rFonts w:ascii="仿宋" w:hAnsi="仿宋" w:eastAsia="仿宋"/>
          <w:sz w:val="28"/>
          <w:szCs w:val="28"/>
        </w:rPr>
        <w:t xml:space="preserve"> </w:t>
      </w:r>
    </w:p>
    <w:p w14:paraId="79E77457">
      <w:pPr>
        <w:spacing w:line="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2.</w:t>
      </w:r>
      <w:r>
        <w:rPr>
          <w:rFonts w:hint="eastAsia" w:ascii="仿宋" w:hAnsi="仿宋" w:eastAsia="仿宋"/>
          <w:sz w:val="28"/>
          <w:szCs w:val="28"/>
        </w:rPr>
        <w:t>药品标识物管理</w:t>
      </w:r>
      <w:r>
        <w:rPr>
          <w:rFonts w:ascii="仿宋" w:hAnsi="仿宋" w:eastAsia="仿宋"/>
          <w:sz w:val="28"/>
          <w:szCs w:val="28"/>
        </w:rPr>
        <w:t xml:space="preserve"> </w:t>
      </w:r>
    </w:p>
    <w:p w14:paraId="3E5E8D3A">
      <w:pPr>
        <w:spacing w:line="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3.</w:t>
      </w:r>
      <w:r>
        <w:rPr>
          <w:rFonts w:hint="eastAsia" w:ascii="仿宋" w:hAnsi="仿宋" w:eastAsia="仿宋"/>
          <w:sz w:val="28"/>
          <w:szCs w:val="28"/>
        </w:rPr>
        <w:t>药品广告管理</w:t>
      </w:r>
    </w:p>
    <w:p w14:paraId="3A8F5F48">
      <w:pPr>
        <w:spacing w:line="60" w:lineRule="auto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4.</w:t>
      </w:r>
      <w:r>
        <w:rPr>
          <w:rFonts w:hint="eastAsia" w:ascii="仿宋" w:hAnsi="仿宋" w:eastAsia="仿宋"/>
          <w:sz w:val="28"/>
          <w:szCs w:val="28"/>
        </w:rPr>
        <w:t>互联网药品信息服务管理</w:t>
      </w:r>
      <w:r>
        <w:rPr>
          <w:rFonts w:ascii="仿宋" w:hAnsi="仿宋" w:eastAsia="仿宋"/>
          <w:sz w:val="28"/>
          <w:szCs w:val="28"/>
        </w:rPr>
        <w:t xml:space="preserve"> </w:t>
      </w:r>
    </w:p>
    <w:p w14:paraId="621362BF">
      <w:pPr>
        <w:spacing w:line="60" w:lineRule="auto"/>
        <w:ind w:firstLine="320" w:firstLineChars="100"/>
        <w:rPr>
          <w:rFonts w:hint="eastAsia"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（十一）中药管理</w:t>
      </w:r>
    </w:p>
    <w:p w14:paraId="10BF7D76">
      <w:pPr>
        <w:spacing w:line="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1.中药管理概述</w:t>
      </w:r>
      <w:r>
        <w:rPr>
          <w:rFonts w:ascii="Calibri" w:hAnsi="Calibri" w:eastAsia="仿宋" w:cs="Calibri"/>
          <w:sz w:val="28"/>
          <w:szCs w:val="28"/>
        </w:rPr>
        <w:t> </w:t>
      </w:r>
    </w:p>
    <w:p w14:paraId="1D3CC307">
      <w:pPr>
        <w:spacing w:line="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2.中药管理相关法律法规</w:t>
      </w:r>
      <w:r>
        <w:rPr>
          <w:rFonts w:ascii="Calibri" w:hAnsi="Calibri" w:eastAsia="仿宋" w:cs="Calibri"/>
          <w:sz w:val="28"/>
          <w:szCs w:val="28"/>
        </w:rPr>
        <w:t> </w:t>
      </w:r>
    </w:p>
    <w:p w14:paraId="3F12AEFF">
      <w:pPr>
        <w:spacing w:line="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3.野生药材资源保护管理</w:t>
      </w:r>
    </w:p>
    <w:p w14:paraId="3D71D2DC">
      <w:pPr>
        <w:spacing w:line="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4.中药品种保护条例</w:t>
      </w:r>
    </w:p>
    <w:p w14:paraId="3B34799E">
      <w:pPr>
        <w:spacing w:line="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5.《中药材生产质量管理规范》GAP的基本概况、主要内容。</w:t>
      </w:r>
    </w:p>
    <w:p w14:paraId="0DE03F07">
      <w:pPr>
        <w:spacing w:line="60" w:lineRule="auto"/>
        <w:ind w:firstLine="320" w:firstLineChars="100"/>
        <w:rPr>
          <w:rFonts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（十二）疫苗管理</w:t>
      </w:r>
    </w:p>
    <w:p w14:paraId="02FA6CF3">
      <w:pPr>
        <w:spacing w:line="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1.疫苗概述</w:t>
      </w:r>
    </w:p>
    <w:p w14:paraId="75561E55">
      <w:pPr>
        <w:spacing w:line="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2.疫苗的研制和生产</w:t>
      </w:r>
    </w:p>
    <w:p w14:paraId="27DE3DC8">
      <w:pPr>
        <w:spacing w:line="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3.疫苗的流通与上市后管理</w:t>
      </w:r>
    </w:p>
    <w:p w14:paraId="6EEB9B67">
      <w:pPr>
        <w:spacing w:line="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4.疫苗的预防接种</w:t>
      </w:r>
    </w:p>
    <w:p w14:paraId="4B711B00">
      <w:pPr>
        <w:spacing w:line="60" w:lineRule="auto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5.疫苗的监管与法律责任</w:t>
      </w:r>
    </w:p>
    <w:p w14:paraId="468EC5FC">
      <w:pPr>
        <w:spacing w:line="60" w:lineRule="auto"/>
        <w:ind w:firstLine="320" w:firstLineChars="100"/>
        <w:rPr>
          <w:rFonts w:hint="eastAsia"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（十三）特殊管理药品的监管</w:t>
      </w:r>
    </w:p>
    <w:p w14:paraId="477627B9">
      <w:pPr>
        <w:spacing w:line="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</w:t>
      </w:r>
      <w:r>
        <w:rPr>
          <w:rFonts w:ascii="仿宋" w:hAnsi="仿宋" w:eastAsia="仿宋"/>
          <w:sz w:val="28"/>
          <w:szCs w:val="28"/>
        </w:rPr>
        <w:t>.</w:t>
      </w:r>
      <w:r>
        <w:rPr>
          <w:rFonts w:hint="eastAsia" w:ascii="仿宋" w:hAnsi="仿宋" w:eastAsia="仿宋"/>
          <w:sz w:val="28"/>
          <w:szCs w:val="28"/>
        </w:rPr>
        <w:t>特殊管理药品的滥用与监管</w:t>
      </w:r>
      <w:r>
        <w:rPr>
          <w:rFonts w:ascii="仿宋" w:hAnsi="仿宋" w:eastAsia="仿宋"/>
          <w:sz w:val="28"/>
          <w:szCs w:val="28"/>
        </w:rPr>
        <w:t xml:space="preserve"> </w:t>
      </w:r>
    </w:p>
    <w:p w14:paraId="1ADECC23">
      <w:pPr>
        <w:spacing w:line="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</w:t>
      </w:r>
      <w:r>
        <w:rPr>
          <w:rFonts w:ascii="仿宋" w:hAnsi="仿宋" w:eastAsia="仿宋"/>
          <w:sz w:val="28"/>
          <w:szCs w:val="28"/>
        </w:rPr>
        <w:t>.</w:t>
      </w:r>
      <w:r>
        <w:rPr>
          <w:rFonts w:hint="eastAsia" w:ascii="仿宋" w:hAnsi="仿宋" w:eastAsia="仿宋"/>
          <w:sz w:val="28"/>
          <w:szCs w:val="28"/>
        </w:rPr>
        <w:t>麻醉药品和精神药品的管理</w:t>
      </w:r>
    </w:p>
    <w:p w14:paraId="704A0BB7">
      <w:pPr>
        <w:spacing w:line="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</w:t>
      </w:r>
      <w:r>
        <w:rPr>
          <w:rFonts w:ascii="仿宋" w:hAnsi="仿宋" w:eastAsia="仿宋"/>
          <w:sz w:val="28"/>
          <w:szCs w:val="28"/>
        </w:rPr>
        <w:t>.</w:t>
      </w:r>
      <w:r>
        <w:rPr>
          <w:rFonts w:hint="eastAsia" w:ascii="仿宋" w:hAnsi="仿宋" w:eastAsia="仿宋"/>
          <w:sz w:val="28"/>
          <w:szCs w:val="28"/>
        </w:rPr>
        <w:t>医疗用毒性药品和药品类易制毒化学品的管理</w:t>
      </w:r>
      <w:r>
        <w:rPr>
          <w:rFonts w:ascii="仿宋" w:hAnsi="仿宋" w:eastAsia="仿宋"/>
          <w:sz w:val="28"/>
          <w:szCs w:val="28"/>
        </w:rPr>
        <w:t xml:space="preserve"> </w:t>
      </w:r>
    </w:p>
    <w:p w14:paraId="63B063BD">
      <w:pPr>
        <w:spacing w:line="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4</w:t>
      </w:r>
      <w:r>
        <w:rPr>
          <w:rFonts w:ascii="仿宋" w:hAnsi="仿宋" w:eastAsia="仿宋"/>
          <w:sz w:val="28"/>
          <w:szCs w:val="28"/>
        </w:rPr>
        <w:t>.</w:t>
      </w:r>
      <w:r>
        <w:rPr>
          <w:rFonts w:hint="eastAsia" w:ascii="仿宋" w:hAnsi="仿宋" w:eastAsia="仿宋"/>
          <w:sz w:val="28"/>
          <w:szCs w:val="28"/>
        </w:rPr>
        <w:t>含特殊药品复方制剂、兴奋剂和疫苗管理</w:t>
      </w:r>
      <w:r>
        <w:rPr>
          <w:rFonts w:ascii="仿宋" w:hAnsi="仿宋" w:eastAsia="仿宋"/>
          <w:sz w:val="28"/>
          <w:szCs w:val="28"/>
        </w:rPr>
        <w:t xml:space="preserve">  </w:t>
      </w:r>
    </w:p>
    <w:p w14:paraId="7F1AA0FC">
      <w:pPr>
        <w:spacing w:line="60" w:lineRule="auto"/>
        <w:ind w:firstLine="320" w:firstLineChars="100"/>
        <w:rPr>
          <w:rFonts w:hint="eastAsia"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（十四）药品知识产权保护</w:t>
      </w:r>
    </w:p>
    <w:p w14:paraId="5A5D4571">
      <w:pPr>
        <w:spacing w:line="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1.药品知识产权概述</w:t>
      </w:r>
      <w:r>
        <w:rPr>
          <w:rFonts w:ascii="仿宋" w:hAnsi="仿宋" w:eastAsia="仿宋"/>
          <w:sz w:val="28"/>
          <w:szCs w:val="28"/>
        </w:rPr>
        <w:t xml:space="preserve"> </w:t>
      </w:r>
    </w:p>
    <w:p w14:paraId="473DF2D7">
      <w:pPr>
        <w:spacing w:line="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2.药品专利保护</w:t>
      </w:r>
      <w:r>
        <w:rPr>
          <w:rFonts w:ascii="仿宋" w:hAnsi="仿宋" w:eastAsia="仿宋"/>
          <w:sz w:val="28"/>
          <w:szCs w:val="28"/>
        </w:rPr>
        <w:t xml:space="preserve"> </w:t>
      </w:r>
    </w:p>
    <w:p w14:paraId="2E9A0670">
      <w:pPr>
        <w:spacing w:line="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3.药品商标保护</w:t>
      </w:r>
      <w:r>
        <w:rPr>
          <w:rFonts w:ascii="仿宋" w:hAnsi="仿宋" w:eastAsia="仿宋"/>
          <w:sz w:val="28"/>
          <w:szCs w:val="28"/>
        </w:rPr>
        <w:t xml:space="preserve">  </w:t>
      </w:r>
    </w:p>
    <w:p w14:paraId="1D9109C4">
      <w:pPr>
        <w:spacing w:line="60" w:lineRule="auto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4.医药著作权、商业秘密与未披露数据的保护</w:t>
      </w:r>
      <w:r>
        <w:rPr>
          <w:rFonts w:ascii="仿宋" w:hAnsi="仿宋" w:eastAsia="仿宋"/>
          <w:sz w:val="28"/>
          <w:szCs w:val="28"/>
        </w:rPr>
        <w:t xml:space="preserve"> </w:t>
      </w:r>
    </w:p>
    <w:p w14:paraId="603062B1">
      <w:pPr>
        <w:spacing w:line="60" w:lineRule="auto"/>
        <w:ind w:firstLine="320" w:firstLineChars="100"/>
        <w:rPr>
          <w:rFonts w:hint="eastAsia"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（十五）药师与药学服务管理</w:t>
      </w:r>
    </w:p>
    <w:p w14:paraId="2FC5A86B">
      <w:pPr>
        <w:spacing w:line="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1.药师管理概述</w:t>
      </w:r>
      <w:r>
        <w:rPr>
          <w:rFonts w:ascii="仿宋" w:hAnsi="仿宋" w:eastAsia="仿宋"/>
          <w:sz w:val="28"/>
          <w:szCs w:val="28"/>
        </w:rPr>
        <w:t xml:space="preserve"> </w:t>
      </w:r>
    </w:p>
    <w:p w14:paraId="4CDAEFCE">
      <w:pPr>
        <w:spacing w:line="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2.药学服务管理概述</w:t>
      </w:r>
      <w:r>
        <w:rPr>
          <w:rFonts w:ascii="仿宋" w:hAnsi="仿宋" w:eastAsia="仿宋"/>
          <w:sz w:val="28"/>
          <w:szCs w:val="28"/>
        </w:rPr>
        <w:t xml:space="preserve"> </w:t>
      </w:r>
    </w:p>
    <w:p w14:paraId="062E9100">
      <w:pPr>
        <w:spacing w:line="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3.发达国家药学服务</w:t>
      </w:r>
    </w:p>
    <w:p w14:paraId="0E42A6C2">
      <w:pPr>
        <w:spacing w:line="60" w:lineRule="auto"/>
        <w:rPr>
          <w:rFonts w:hint="eastAsia" w:ascii="黑体" w:hAnsi="黑体" w:eastAsia="黑体"/>
          <w:b/>
          <w:bCs/>
          <w:sz w:val="32"/>
          <w:szCs w:val="32"/>
        </w:rPr>
      </w:pPr>
      <w:r>
        <w:rPr>
          <w:rFonts w:ascii="黑体" w:hAnsi="黑体" w:eastAsia="黑体"/>
          <w:b/>
          <w:bCs/>
          <w:sz w:val="32"/>
          <w:szCs w:val="32"/>
        </w:rPr>
        <w:t xml:space="preserve">    </w:t>
      </w:r>
      <w:r>
        <w:rPr>
          <w:rFonts w:hint="eastAsia" w:ascii="黑体" w:hAnsi="黑体" w:eastAsia="黑体"/>
          <w:b/>
          <w:bCs/>
          <w:sz w:val="32"/>
          <w:szCs w:val="32"/>
        </w:rPr>
        <w:t>三、参考书目</w:t>
      </w:r>
    </w:p>
    <w:p w14:paraId="08499EE4">
      <w:pPr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1.</w:t>
      </w:r>
      <w:r>
        <w:rPr>
          <w:rFonts w:ascii="仿宋" w:hAnsi="仿宋" w:eastAsia="仿宋"/>
          <w:sz w:val="28"/>
          <w:szCs w:val="28"/>
        </w:rPr>
        <w:t>《</w:t>
      </w:r>
      <w:r>
        <w:rPr>
          <w:rFonts w:hint="eastAsia" w:ascii="仿宋" w:hAnsi="仿宋" w:eastAsia="仿宋"/>
          <w:sz w:val="28"/>
          <w:szCs w:val="28"/>
        </w:rPr>
        <w:t>药事管理学</w:t>
      </w:r>
      <w:r>
        <w:rPr>
          <w:rFonts w:ascii="仿宋" w:hAnsi="仿宋" w:eastAsia="仿宋"/>
          <w:sz w:val="28"/>
          <w:szCs w:val="28"/>
        </w:rPr>
        <w:t>》，</w:t>
      </w:r>
      <w:r>
        <w:rPr>
          <w:rFonts w:hint="eastAsia" w:ascii="仿宋" w:hAnsi="仿宋" w:eastAsia="仿宋"/>
          <w:sz w:val="28"/>
          <w:szCs w:val="28"/>
        </w:rPr>
        <w:t>刘红宁主编</w:t>
      </w:r>
      <w:r>
        <w:rPr>
          <w:rFonts w:ascii="仿宋" w:hAnsi="仿宋" w:eastAsia="仿宋"/>
          <w:sz w:val="28"/>
          <w:szCs w:val="28"/>
        </w:rPr>
        <w:t>，</w:t>
      </w:r>
      <w:r>
        <w:rPr>
          <w:rFonts w:hint="eastAsia" w:ascii="仿宋" w:hAnsi="仿宋" w:eastAsia="仿宋"/>
          <w:sz w:val="28"/>
          <w:szCs w:val="28"/>
        </w:rPr>
        <w:t>中国中医药出版社</w:t>
      </w:r>
      <w:r>
        <w:rPr>
          <w:rFonts w:ascii="仿宋" w:hAnsi="仿宋" w:eastAsia="仿宋"/>
          <w:sz w:val="28"/>
          <w:szCs w:val="28"/>
        </w:rPr>
        <w:t>，</w:t>
      </w:r>
      <w:r>
        <w:rPr>
          <w:rFonts w:hint="eastAsia" w:ascii="仿宋" w:hAnsi="仿宋" w:eastAsia="仿宋"/>
          <w:sz w:val="28"/>
          <w:szCs w:val="28"/>
        </w:rPr>
        <w:t>2021</w:t>
      </w:r>
      <w:r>
        <w:rPr>
          <w:rFonts w:ascii="仿宋" w:hAnsi="仿宋" w:eastAsia="仿宋"/>
          <w:sz w:val="28"/>
          <w:szCs w:val="28"/>
        </w:rPr>
        <w:t>年</w:t>
      </w:r>
      <w:r>
        <w:rPr>
          <w:rFonts w:hint="eastAsia" w:ascii="仿宋" w:hAnsi="仿宋" w:eastAsia="仿宋"/>
          <w:sz w:val="28"/>
          <w:szCs w:val="28"/>
        </w:rPr>
        <w:t>6</w:t>
      </w:r>
      <w:r>
        <w:rPr>
          <w:rFonts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</w:rPr>
        <w:t>，新世纪第二版</w:t>
      </w:r>
    </w:p>
    <w:p w14:paraId="52EE14FF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2.中华人民共和国药品管理法</w:t>
      </w:r>
      <w:r>
        <w:rPr>
          <w:rFonts w:ascii="仿宋" w:hAnsi="仿宋" w:eastAsia="仿宋"/>
          <w:sz w:val="28"/>
          <w:szCs w:val="28"/>
        </w:rPr>
        <w:t>及其他药事管理相关的法律法规</w:t>
      </w:r>
    </w:p>
    <w:p w14:paraId="7A699D4A">
      <w:pPr>
        <w:spacing w:line="60" w:lineRule="auto"/>
        <w:jc w:val="center"/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</w:pPr>
    </w:p>
    <w:p w14:paraId="1E581632">
      <w:pPr>
        <w:spacing w:line="60" w:lineRule="auto"/>
        <w:jc w:val="center"/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</w:pPr>
    </w:p>
    <w:p w14:paraId="7D24C85A">
      <w:pPr>
        <w:spacing w:line="60" w:lineRule="auto"/>
        <w:jc w:val="center"/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</w:pPr>
    </w:p>
    <w:p w14:paraId="63A26A89">
      <w:pPr>
        <w:spacing w:line="60" w:lineRule="auto"/>
        <w:jc w:val="center"/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</w:pPr>
    </w:p>
    <w:p w14:paraId="46ADF79E">
      <w:pPr>
        <w:spacing w:line="60" w:lineRule="auto"/>
        <w:jc w:val="center"/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</w:pPr>
    </w:p>
    <w:p w14:paraId="23FF866E">
      <w:pPr>
        <w:spacing w:line="60" w:lineRule="auto"/>
        <w:jc w:val="center"/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</w:pPr>
    </w:p>
    <w:p w14:paraId="2F205CF4">
      <w:pPr>
        <w:spacing w:line="60" w:lineRule="auto"/>
        <w:jc w:val="center"/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</w:pPr>
    </w:p>
    <w:p w14:paraId="2AB08048">
      <w:pPr>
        <w:spacing w:line="60" w:lineRule="auto"/>
        <w:jc w:val="center"/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</w:pPr>
    </w:p>
    <w:p w14:paraId="2E28D1DA">
      <w:pPr>
        <w:spacing w:line="60" w:lineRule="auto"/>
        <w:jc w:val="center"/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</w:pPr>
    </w:p>
    <w:p w14:paraId="6682EDBD">
      <w:pPr>
        <w:spacing w:line="60" w:lineRule="auto"/>
        <w:jc w:val="center"/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</w:pPr>
    </w:p>
    <w:p w14:paraId="7F1D3745">
      <w:pPr>
        <w:spacing w:line="60" w:lineRule="auto"/>
        <w:jc w:val="center"/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</w:pPr>
    </w:p>
    <w:p w14:paraId="67DB2127">
      <w:pPr>
        <w:spacing w:line="60" w:lineRule="auto"/>
        <w:jc w:val="center"/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</w:pPr>
    </w:p>
    <w:p w14:paraId="4CDC5817">
      <w:pPr>
        <w:spacing w:line="60" w:lineRule="auto"/>
        <w:jc w:val="center"/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</w:pPr>
    </w:p>
    <w:p w14:paraId="15E97B76">
      <w:pPr>
        <w:spacing w:line="60" w:lineRule="auto"/>
        <w:jc w:val="center"/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</w:pPr>
    </w:p>
    <w:p w14:paraId="61C533D8">
      <w:pPr>
        <w:spacing w:line="60" w:lineRule="auto"/>
        <w:jc w:val="center"/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</w:pPr>
    </w:p>
    <w:p w14:paraId="0C454C1D">
      <w:pPr>
        <w:spacing w:line="60" w:lineRule="auto"/>
        <w:jc w:val="center"/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</w:pPr>
    </w:p>
    <w:p w14:paraId="2BCDD172">
      <w:pPr>
        <w:spacing w:line="60" w:lineRule="auto"/>
        <w:jc w:val="center"/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</w:pPr>
    </w:p>
    <w:p w14:paraId="69F2630D">
      <w:pPr>
        <w:spacing w:line="60" w:lineRule="auto"/>
        <w:jc w:val="center"/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</w:pPr>
    </w:p>
    <w:p w14:paraId="71604E17">
      <w:pPr>
        <w:spacing w:line="60" w:lineRule="auto"/>
        <w:jc w:val="center"/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</w:pPr>
    </w:p>
    <w:p w14:paraId="4FDA6B11">
      <w:pPr>
        <w:spacing w:line="60" w:lineRule="auto"/>
        <w:jc w:val="center"/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</w:pPr>
    </w:p>
    <w:p w14:paraId="08FEA88A">
      <w:pPr>
        <w:spacing w:line="60" w:lineRule="auto"/>
        <w:jc w:val="center"/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</w:pPr>
    </w:p>
    <w:p w14:paraId="76A1C537">
      <w:pPr>
        <w:spacing w:line="60" w:lineRule="auto"/>
        <w:jc w:val="center"/>
        <w:rPr>
          <w:rFonts w:hint="eastAsia" w:ascii="方正小标宋简体" w:hAnsi="方正小标宋简体" w:eastAsia="方正小标宋简体" w:cs="方正小标宋简体"/>
          <w:bCs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  <w:t>应用统计学</w:t>
      </w: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  <w:lang w:val="en-US" w:eastAsia="zh-CN"/>
        </w:rPr>
        <w:t xml:space="preserve"> 考试大纲</w:t>
      </w:r>
    </w:p>
    <w:p w14:paraId="2F1A3451">
      <w:pPr>
        <w:spacing w:line="60" w:lineRule="auto"/>
        <w:jc w:val="center"/>
        <w:rPr>
          <w:rFonts w:hint="eastAsia" w:ascii="方正小标宋简体" w:hAnsi="方正小标宋简体" w:eastAsia="方正小标宋简体" w:cs="方正小标宋简体"/>
          <w:bCs/>
          <w:sz w:val="36"/>
          <w:szCs w:val="36"/>
          <w:lang w:val="en-US" w:eastAsia="zh-CN"/>
        </w:rPr>
      </w:pPr>
    </w:p>
    <w:p w14:paraId="3A22A187">
      <w:pPr>
        <w:spacing w:line="60" w:lineRule="auto"/>
        <w:jc w:val="left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 xml:space="preserve">  </w:t>
      </w:r>
      <w:r>
        <w:rPr>
          <w:rFonts w:hint="eastAsia" w:ascii="黑体" w:hAnsi="黑体" w:eastAsia="黑体"/>
          <w:b/>
          <w:bCs/>
          <w:sz w:val="32"/>
          <w:szCs w:val="32"/>
        </w:rPr>
        <w:t>一、考试形式与试卷结构</w:t>
      </w:r>
    </w:p>
    <w:p w14:paraId="584A182A">
      <w:pPr>
        <w:spacing w:line="60" w:lineRule="auto"/>
        <w:rPr>
          <w:rFonts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（一）试卷满分及考试时间</w:t>
      </w:r>
    </w:p>
    <w:p w14:paraId="3E52B8E2">
      <w:pPr>
        <w:spacing w:line="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试卷满分为100分，考试时间为60分钟。</w:t>
      </w:r>
    </w:p>
    <w:p w14:paraId="52B53160">
      <w:pPr>
        <w:spacing w:line="60" w:lineRule="auto"/>
        <w:rPr>
          <w:rFonts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（二）答题方式</w:t>
      </w:r>
    </w:p>
    <w:p w14:paraId="3C47CF18">
      <w:pPr>
        <w:spacing w:line="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闭卷、笔试。</w:t>
      </w:r>
    </w:p>
    <w:p w14:paraId="252C3088">
      <w:pPr>
        <w:spacing w:line="60" w:lineRule="auto"/>
        <w:rPr>
          <w:rFonts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（三）题型结构</w:t>
      </w:r>
    </w:p>
    <w:p w14:paraId="53C80C41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1．名词解释：共</w:t>
      </w:r>
      <w:r>
        <w:rPr>
          <w:rFonts w:hint="eastAsia" w:ascii="仿宋" w:hAnsi="仿宋" w:eastAsia="仿宋"/>
          <w:sz w:val="28"/>
          <w:szCs w:val="28"/>
        </w:rPr>
        <w:t>4</w:t>
      </w:r>
      <w:r>
        <w:rPr>
          <w:rFonts w:ascii="仿宋" w:hAnsi="仿宋" w:eastAsia="仿宋"/>
          <w:sz w:val="28"/>
          <w:szCs w:val="28"/>
        </w:rPr>
        <w:t>个小题，每小题5分，共</w:t>
      </w:r>
      <w:r>
        <w:rPr>
          <w:rFonts w:hint="eastAsia" w:ascii="仿宋" w:hAnsi="仿宋" w:eastAsia="仿宋"/>
          <w:sz w:val="28"/>
          <w:szCs w:val="28"/>
        </w:rPr>
        <w:t>2</w:t>
      </w:r>
      <w:r>
        <w:rPr>
          <w:rFonts w:ascii="仿宋" w:hAnsi="仿宋" w:eastAsia="仿宋"/>
          <w:sz w:val="28"/>
          <w:szCs w:val="28"/>
        </w:rPr>
        <w:t>0分。</w:t>
      </w:r>
    </w:p>
    <w:p w14:paraId="57E23CFB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2. 简答题：共</w:t>
      </w:r>
      <w:r>
        <w:rPr>
          <w:rFonts w:hint="eastAsia" w:ascii="仿宋" w:hAnsi="仿宋" w:eastAsia="仿宋"/>
          <w:sz w:val="28"/>
          <w:szCs w:val="28"/>
        </w:rPr>
        <w:t>6</w:t>
      </w:r>
      <w:r>
        <w:rPr>
          <w:rFonts w:ascii="仿宋" w:hAnsi="仿宋" w:eastAsia="仿宋"/>
          <w:sz w:val="28"/>
          <w:szCs w:val="28"/>
        </w:rPr>
        <w:t>个小题，每小题10分，共</w:t>
      </w:r>
      <w:r>
        <w:rPr>
          <w:rFonts w:hint="eastAsia" w:ascii="仿宋" w:hAnsi="仿宋" w:eastAsia="仿宋"/>
          <w:sz w:val="28"/>
          <w:szCs w:val="28"/>
        </w:rPr>
        <w:t>6</w:t>
      </w:r>
      <w:r>
        <w:rPr>
          <w:rFonts w:ascii="仿宋" w:hAnsi="仿宋" w:eastAsia="仿宋"/>
          <w:sz w:val="28"/>
          <w:szCs w:val="28"/>
        </w:rPr>
        <w:t>0分。</w:t>
      </w:r>
    </w:p>
    <w:p w14:paraId="71B39E6D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3. 论述题：共</w:t>
      </w:r>
      <w:r>
        <w:rPr>
          <w:rFonts w:hint="eastAsia" w:ascii="仿宋" w:hAnsi="仿宋" w:eastAsia="仿宋"/>
          <w:sz w:val="28"/>
          <w:szCs w:val="28"/>
        </w:rPr>
        <w:t>1</w:t>
      </w:r>
      <w:r>
        <w:rPr>
          <w:rFonts w:ascii="仿宋" w:hAnsi="仿宋" w:eastAsia="仿宋"/>
          <w:sz w:val="28"/>
          <w:szCs w:val="28"/>
        </w:rPr>
        <w:t>个小题，每小题1分，共</w:t>
      </w:r>
      <w:r>
        <w:rPr>
          <w:rFonts w:hint="eastAsia" w:ascii="仿宋" w:hAnsi="仿宋" w:eastAsia="仿宋"/>
          <w:sz w:val="28"/>
          <w:szCs w:val="28"/>
        </w:rPr>
        <w:t>2</w:t>
      </w:r>
      <w:r>
        <w:rPr>
          <w:rFonts w:ascii="仿宋" w:hAnsi="仿宋" w:eastAsia="仿宋"/>
          <w:sz w:val="28"/>
          <w:szCs w:val="28"/>
        </w:rPr>
        <w:t>0分。</w:t>
      </w:r>
    </w:p>
    <w:p w14:paraId="2BA50C61">
      <w:pPr>
        <w:spacing w:line="60" w:lineRule="auto"/>
        <w:ind w:firstLine="321" w:firstLineChars="100"/>
        <w:rPr>
          <w:rFonts w:ascii="仿宋" w:hAnsi="仿宋" w:eastAsia="仿宋"/>
          <w:sz w:val="32"/>
          <w:szCs w:val="32"/>
        </w:rPr>
      </w:pPr>
      <w:r>
        <w:rPr>
          <w:rFonts w:hint="eastAsia" w:ascii="黑体" w:hAnsi="黑体" w:eastAsia="黑体"/>
          <w:b/>
          <w:bCs/>
          <w:sz w:val="32"/>
          <w:szCs w:val="32"/>
        </w:rPr>
        <w:t>二、考查内容</w:t>
      </w:r>
    </w:p>
    <w:p w14:paraId="01188BF1">
      <w:pPr>
        <w:spacing w:line="60" w:lineRule="auto"/>
        <w:ind w:firstLine="32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楷体" w:hAnsi="楷体" w:eastAsia="楷体"/>
          <w:sz w:val="32"/>
          <w:szCs w:val="32"/>
        </w:rPr>
        <w:t>（一）</w:t>
      </w:r>
      <w:r>
        <w:rPr>
          <w:rFonts w:hint="eastAsia" w:ascii="仿宋" w:hAnsi="仿宋" w:eastAsia="仿宋"/>
          <w:sz w:val="28"/>
          <w:szCs w:val="28"/>
        </w:rPr>
        <w:t xml:space="preserve">绪论 </w:t>
      </w:r>
    </w:p>
    <w:p w14:paraId="2C3D67A8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第一节 医学中统计思维的进化 </w:t>
      </w:r>
    </w:p>
    <w:p w14:paraId="21A0D104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第二节 统计学与公共卫生互相推动 </w:t>
      </w:r>
    </w:p>
    <w:p w14:paraId="1628EA0D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第三节 统计学的若干概念 </w:t>
      </w:r>
    </w:p>
    <w:p w14:paraId="0918CA79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第四节 目标与方法 </w:t>
      </w:r>
    </w:p>
    <w:p w14:paraId="6F6A5025">
      <w:pPr>
        <w:spacing w:line="60" w:lineRule="auto"/>
        <w:ind w:firstLine="32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楷体" w:hAnsi="楷体" w:eastAsia="楷体"/>
          <w:sz w:val="32"/>
          <w:szCs w:val="32"/>
        </w:rPr>
        <w:t>（二）</w:t>
      </w:r>
      <w:r>
        <w:rPr>
          <w:rFonts w:hint="eastAsia" w:ascii="仿宋" w:hAnsi="仿宋" w:eastAsia="仿宋"/>
          <w:sz w:val="28"/>
          <w:szCs w:val="28"/>
        </w:rPr>
        <w:t xml:space="preserve">定量变量的统计描述 </w:t>
      </w:r>
    </w:p>
    <w:p w14:paraId="010B2DB9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第一节 频率分布表与频率分布图 </w:t>
      </w:r>
    </w:p>
    <w:p w14:paraId="4039A681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第二节 描述平均水平的统计指标 </w:t>
      </w:r>
    </w:p>
    <w:p w14:paraId="2971BA3A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第三节 描述变异程度的统计指标 </w:t>
      </w:r>
    </w:p>
    <w:p w14:paraId="3C38E0DC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第四节 描述分布形态的统计指标 </w:t>
      </w:r>
    </w:p>
    <w:p w14:paraId="0D754585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第五节 统计表和统计图 </w:t>
      </w:r>
    </w:p>
    <w:p w14:paraId="42E24E93">
      <w:pPr>
        <w:spacing w:line="60" w:lineRule="auto"/>
        <w:ind w:firstLine="32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楷体" w:hAnsi="楷体" w:eastAsia="楷体"/>
          <w:sz w:val="32"/>
          <w:szCs w:val="32"/>
        </w:rPr>
        <w:t>（三）</w:t>
      </w:r>
      <w:r>
        <w:rPr>
          <w:rFonts w:hint="eastAsia" w:ascii="仿宋" w:hAnsi="仿宋" w:eastAsia="仿宋"/>
          <w:sz w:val="28"/>
          <w:szCs w:val="28"/>
        </w:rPr>
        <w:t xml:space="preserve">定性变量的统计描述 </w:t>
      </w:r>
    </w:p>
    <w:p w14:paraId="36C3901F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第一节 定性变量的频率分布 </w:t>
      </w:r>
    </w:p>
    <w:p w14:paraId="4B900D1D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第二节 常用相对数指标 </w:t>
      </w:r>
    </w:p>
    <w:p w14:paraId="71919302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第三节 医学人口统计常用指标 </w:t>
      </w:r>
    </w:p>
    <w:p w14:paraId="05B0B062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第四节 疾病统计常用指标 </w:t>
      </w:r>
    </w:p>
    <w:p w14:paraId="1F5D07FA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第五节 粗率的标准化法 </w:t>
      </w:r>
    </w:p>
    <w:p w14:paraId="5904979B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第六节 动态数列及其指标 </w:t>
      </w:r>
    </w:p>
    <w:p w14:paraId="30978B6E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第七节 定性变量统计图 </w:t>
      </w:r>
    </w:p>
    <w:p w14:paraId="713FC7DF">
      <w:pPr>
        <w:spacing w:line="60" w:lineRule="auto"/>
        <w:ind w:firstLine="32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楷体" w:hAnsi="楷体" w:eastAsia="楷体"/>
          <w:sz w:val="32"/>
          <w:szCs w:val="32"/>
        </w:rPr>
        <w:t>（四）</w:t>
      </w:r>
      <w:r>
        <w:rPr>
          <w:rFonts w:hint="eastAsia" w:ascii="仿宋" w:hAnsi="仿宋" w:eastAsia="仿宋"/>
          <w:sz w:val="28"/>
          <w:szCs w:val="28"/>
        </w:rPr>
        <w:t xml:space="preserve">常用概率分布 </w:t>
      </w:r>
    </w:p>
    <w:p w14:paraId="774400AA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第一节 二项分布 </w:t>
      </w:r>
    </w:p>
    <w:p w14:paraId="63CE254B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第二节 Poisson分布 </w:t>
      </w:r>
    </w:p>
    <w:p w14:paraId="6269A5A6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第三节 正态分布 </w:t>
      </w:r>
    </w:p>
    <w:p w14:paraId="3FD50667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第四节 中英文结果报告 </w:t>
      </w:r>
    </w:p>
    <w:p w14:paraId="09FC77B1">
      <w:pPr>
        <w:spacing w:line="60" w:lineRule="auto"/>
        <w:ind w:firstLine="32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楷体" w:hAnsi="楷体" w:eastAsia="楷体"/>
          <w:sz w:val="32"/>
          <w:szCs w:val="32"/>
        </w:rPr>
        <w:t>（五）</w:t>
      </w:r>
      <w:r>
        <w:rPr>
          <w:rFonts w:hint="eastAsia" w:ascii="仿宋" w:hAnsi="仿宋" w:eastAsia="仿宋"/>
          <w:sz w:val="28"/>
          <w:szCs w:val="28"/>
        </w:rPr>
        <w:t xml:space="preserve">参数估计基础 </w:t>
      </w:r>
    </w:p>
    <w:p w14:paraId="33DC438B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第一节抽样分布与抽样误差 </w:t>
      </w:r>
    </w:p>
    <w:p w14:paraId="5A5413B1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第二节t分布 </w:t>
      </w:r>
    </w:p>
    <w:p w14:paraId="7AEE810D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第三节总体均数及总体概率的估计 </w:t>
      </w:r>
    </w:p>
    <w:p w14:paraId="34989BA6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第四节中英文结果报告 </w:t>
      </w:r>
    </w:p>
    <w:p w14:paraId="303CD342">
      <w:pPr>
        <w:spacing w:line="60" w:lineRule="auto"/>
        <w:ind w:firstLine="32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楷体" w:hAnsi="楷体" w:eastAsia="楷体"/>
          <w:sz w:val="32"/>
          <w:szCs w:val="32"/>
        </w:rPr>
        <w:t>（六）</w:t>
      </w:r>
      <w:r>
        <w:rPr>
          <w:rFonts w:hint="eastAsia" w:ascii="仿宋" w:hAnsi="仿宋" w:eastAsia="仿宋"/>
          <w:sz w:val="28"/>
          <w:szCs w:val="28"/>
        </w:rPr>
        <w:t xml:space="preserve">假设检验基础 </w:t>
      </w:r>
    </w:p>
    <w:p w14:paraId="27FD6A41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第一节假设检验的概念与原理 </w:t>
      </w:r>
    </w:p>
    <w:p w14:paraId="075AF53C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第二节 t检验 </w:t>
      </w:r>
    </w:p>
    <w:p w14:paraId="10AC2330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第三节 二项分布与Poisson分布资料的z检验 </w:t>
      </w:r>
    </w:p>
    <w:p w14:paraId="7A7DFF04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第四节 假设检验与区间估计的关系 </w:t>
      </w:r>
    </w:p>
    <w:p w14:paraId="07031CEE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第五节 假设检验的功效 </w:t>
      </w:r>
    </w:p>
    <w:p w14:paraId="4D4B2522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第六节 正态性检验 </w:t>
      </w:r>
    </w:p>
    <w:p w14:paraId="336ECE19">
      <w:pPr>
        <w:spacing w:line="60" w:lineRule="auto"/>
        <w:ind w:firstLine="32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楷体" w:hAnsi="楷体" w:eastAsia="楷体"/>
          <w:sz w:val="32"/>
          <w:szCs w:val="32"/>
        </w:rPr>
        <w:t>（七）</w:t>
      </w:r>
      <w:r>
        <w:rPr>
          <w:rFonts w:hint="eastAsia" w:ascii="仿宋" w:hAnsi="仿宋" w:eastAsia="仿宋"/>
          <w:sz w:val="28"/>
          <w:szCs w:val="28"/>
        </w:rPr>
        <w:t xml:space="preserve">方差分析基础 </w:t>
      </w:r>
    </w:p>
    <w:p w14:paraId="1C37A221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第一节 方差分析的基本思想 </w:t>
      </w:r>
    </w:p>
    <w:p w14:paraId="55A25E8A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第二节 方差分析的步骤 </w:t>
      </w:r>
    </w:p>
    <w:p w14:paraId="07A89EE4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第三节 多个样本均数的两两比较 </w:t>
      </w:r>
    </w:p>
    <w:p w14:paraId="1E87860E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第四节 方差分析的前提条件和数据变换 </w:t>
      </w:r>
    </w:p>
    <w:p w14:paraId="342BA3BC">
      <w:pPr>
        <w:spacing w:line="60" w:lineRule="auto"/>
        <w:ind w:firstLine="32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楷体" w:hAnsi="楷体" w:eastAsia="楷体"/>
          <w:sz w:val="32"/>
          <w:szCs w:val="32"/>
        </w:rPr>
        <w:t>（八）</w:t>
      </w:r>
      <w:r>
        <w:rPr>
          <w:rFonts w:hint="eastAsia" w:ascii="仿宋" w:hAnsi="仿宋" w:eastAsia="仿宋"/>
          <w:sz w:val="28"/>
          <w:szCs w:val="28"/>
        </w:rPr>
        <w:t xml:space="preserve"> </w:t>
      </w:r>
      <w:r>
        <w:rPr>
          <w:rFonts w:hint="eastAsia" w:ascii="仿宋" w:hAnsi="仿宋" w:eastAsia="仿宋"/>
          <w:sz w:val="28"/>
          <w:szCs w:val="28"/>
        </w:rPr>
        <w:sym w:font="Symbol" w:char="F063"/>
      </w:r>
      <w:r>
        <w:rPr>
          <w:rFonts w:hint="eastAsia" w:ascii="仿宋" w:hAnsi="仿宋" w:eastAsia="仿宋"/>
          <w:sz w:val="28"/>
          <w:szCs w:val="28"/>
        </w:rPr>
        <w:t xml:space="preserve">2检验 </w:t>
      </w:r>
    </w:p>
    <w:p w14:paraId="1B718C55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第一节 独立样本四格表资料的</w:t>
      </w:r>
      <w:r>
        <w:rPr>
          <w:rFonts w:hint="eastAsia" w:ascii="仿宋" w:hAnsi="仿宋" w:eastAsia="仿宋"/>
          <w:sz w:val="28"/>
          <w:szCs w:val="28"/>
        </w:rPr>
        <w:sym w:font="Symbol" w:char="F063"/>
      </w:r>
      <w:r>
        <w:rPr>
          <w:rFonts w:hint="eastAsia" w:ascii="仿宋" w:hAnsi="仿宋" w:eastAsia="仿宋"/>
          <w:sz w:val="28"/>
          <w:szCs w:val="28"/>
        </w:rPr>
        <w:t xml:space="preserve">2检验 </w:t>
      </w:r>
    </w:p>
    <w:p w14:paraId="4C08C358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第二节 多个独立样本R×c列联表资料的</w:t>
      </w:r>
      <w:r>
        <w:rPr>
          <w:rFonts w:hint="eastAsia" w:ascii="仿宋" w:hAnsi="仿宋" w:eastAsia="仿宋"/>
          <w:sz w:val="28"/>
          <w:szCs w:val="28"/>
        </w:rPr>
        <w:sym w:font="Symbol" w:char="F063"/>
      </w:r>
      <w:r>
        <w:rPr>
          <w:rFonts w:hint="eastAsia" w:ascii="仿宋" w:hAnsi="仿宋" w:eastAsia="仿宋"/>
          <w:sz w:val="28"/>
          <w:szCs w:val="28"/>
        </w:rPr>
        <w:t xml:space="preserve">2检验 </w:t>
      </w:r>
    </w:p>
    <w:p w14:paraId="404796E1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第三节 配对设计资料的</w:t>
      </w:r>
      <w:r>
        <w:rPr>
          <w:rFonts w:hint="eastAsia" w:ascii="仿宋" w:hAnsi="仿宋" w:eastAsia="仿宋"/>
          <w:sz w:val="28"/>
          <w:szCs w:val="28"/>
        </w:rPr>
        <w:sym w:font="Symbol" w:char="F063"/>
      </w:r>
      <w:r>
        <w:rPr>
          <w:rFonts w:hint="eastAsia" w:ascii="仿宋" w:hAnsi="仿宋" w:eastAsia="仿宋"/>
          <w:sz w:val="28"/>
          <w:szCs w:val="28"/>
        </w:rPr>
        <w:t xml:space="preserve">2检验 </w:t>
      </w:r>
    </w:p>
    <w:p w14:paraId="65151518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第四节 列联表资料的确切概率法 </w:t>
      </w:r>
    </w:p>
    <w:p w14:paraId="0F83388F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第五节 </w:t>
      </w:r>
      <w:r>
        <w:rPr>
          <w:rFonts w:hint="eastAsia" w:ascii="仿宋" w:hAnsi="仿宋" w:eastAsia="仿宋"/>
          <w:sz w:val="28"/>
          <w:szCs w:val="28"/>
        </w:rPr>
        <w:sym w:font="Symbol" w:char="F063"/>
      </w:r>
      <w:r>
        <w:rPr>
          <w:rFonts w:hint="eastAsia" w:ascii="仿宋" w:hAnsi="仿宋" w:eastAsia="仿宋"/>
          <w:sz w:val="28"/>
          <w:szCs w:val="28"/>
        </w:rPr>
        <w:t xml:space="preserve">2检验用于拟合优度检验 </w:t>
      </w:r>
    </w:p>
    <w:p w14:paraId="272ED75A">
      <w:pPr>
        <w:spacing w:line="60" w:lineRule="auto"/>
        <w:ind w:firstLine="32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楷体" w:hAnsi="楷体" w:eastAsia="楷体"/>
          <w:sz w:val="32"/>
          <w:szCs w:val="32"/>
        </w:rPr>
        <w:t>（九）</w:t>
      </w:r>
      <w:r>
        <w:rPr>
          <w:rFonts w:hint="eastAsia" w:ascii="仿宋" w:hAnsi="仿宋" w:eastAsia="仿宋"/>
          <w:sz w:val="28"/>
          <w:szCs w:val="28"/>
        </w:rPr>
        <w:t xml:space="preserve">基于秩次的非参数检验 </w:t>
      </w:r>
    </w:p>
    <w:p w14:paraId="657CBD52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第一节 配对设计资料的符号秩和检验 </w:t>
      </w:r>
    </w:p>
    <w:p w14:paraId="4A92E940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第二节 两组独立样本比较的秩和检验 </w:t>
      </w:r>
    </w:p>
    <w:p w14:paraId="0FE64BA9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第三节 多组独立样本比较的秩和检验 </w:t>
      </w:r>
    </w:p>
    <w:p w14:paraId="41A9CFBE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第四节 随机区组设计资料的秩和检验 </w:t>
      </w:r>
    </w:p>
    <w:p w14:paraId="76C8D397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第五节 多个样本问的多重比较  </w:t>
      </w:r>
    </w:p>
    <w:p w14:paraId="2DF7613E">
      <w:pPr>
        <w:spacing w:line="60" w:lineRule="auto"/>
        <w:ind w:firstLine="32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楷体" w:hAnsi="楷体" w:eastAsia="楷体"/>
          <w:sz w:val="32"/>
          <w:szCs w:val="32"/>
        </w:rPr>
        <w:t>（十）</w:t>
      </w:r>
      <w:r>
        <w:rPr>
          <w:rFonts w:hint="eastAsia" w:ascii="仿宋" w:hAnsi="仿宋" w:eastAsia="仿宋"/>
          <w:sz w:val="28"/>
          <w:szCs w:val="28"/>
        </w:rPr>
        <w:t xml:space="preserve"> 两变量关联性分析 </w:t>
      </w:r>
    </w:p>
    <w:p w14:paraId="6A3210F2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第一节 线性相关 </w:t>
      </w:r>
    </w:p>
    <w:p w14:paraId="30F623E6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第二节 秩相关 </w:t>
      </w:r>
    </w:p>
    <w:p w14:paraId="23693F3F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第三节 分类变量的关联性分析 </w:t>
      </w:r>
    </w:p>
    <w:p w14:paraId="6942BA48">
      <w:pPr>
        <w:spacing w:line="60" w:lineRule="auto"/>
        <w:ind w:firstLine="32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楷体" w:hAnsi="楷体" w:eastAsia="楷体"/>
          <w:sz w:val="32"/>
          <w:szCs w:val="32"/>
        </w:rPr>
        <w:t>（十一）</w:t>
      </w:r>
      <w:r>
        <w:rPr>
          <w:rFonts w:hint="eastAsia" w:ascii="仿宋" w:hAnsi="仿宋" w:eastAsia="仿宋"/>
          <w:sz w:val="28"/>
          <w:szCs w:val="28"/>
        </w:rPr>
        <w:t xml:space="preserve">简单线性回归 </w:t>
      </w:r>
    </w:p>
    <w:p w14:paraId="442E2671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第一节 线性回归 </w:t>
      </w:r>
    </w:p>
    <w:p w14:paraId="36BB1D12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第二节 线性回归的应用 </w:t>
      </w:r>
    </w:p>
    <w:p w14:paraId="68CF1ABC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第三节 残差分析 </w:t>
      </w:r>
    </w:p>
    <w:p w14:paraId="00903E23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第四节 非线性回归 </w:t>
      </w:r>
    </w:p>
    <w:p w14:paraId="6A115F25">
      <w:pPr>
        <w:spacing w:line="60" w:lineRule="auto"/>
        <w:ind w:firstLine="32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楷体" w:hAnsi="楷体" w:eastAsia="楷体"/>
          <w:sz w:val="32"/>
          <w:szCs w:val="32"/>
        </w:rPr>
        <w:t>（十二）</w:t>
      </w:r>
      <w:r>
        <w:rPr>
          <w:rFonts w:hint="eastAsia" w:ascii="仿宋" w:hAnsi="仿宋" w:eastAsia="仿宋"/>
          <w:sz w:val="28"/>
          <w:szCs w:val="28"/>
        </w:rPr>
        <w:t xml:space="preserve">多重线性回归与相关 </w:t>
      </w:r>
    </w:p>
    <w:p w14:paraId="52DE2061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第一节 多重线性回归的概念及其统计描述 </w:t>
      </w:r>
    </w:p>
    <w:p w14:paraId="6142C803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第二节 多重线性回归的假设检验 </w:t>
      </w:r>
    </w:p>
    <w:p w14:paraId="72525F05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第三节 复相关系数与偏相关系数 </w:t>
      </w:r>
    </w:p>
    <w:p w14:paraId="06821316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第四节 自变量筛选 </w:t>
      </w:r>
    </w:p>
    <w:p w14:paraId="0A1AC567">
      <w:pPr>
        <w:spacing w:line="60" w:lineRule="auto"/>
        <w:ind w:firstLine="280" w:firstLine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第五节 多重线性回归的应用 </w:t>
      </w:r>
    </w:p>
    <w:p w14:paraId="7FBBC972">
      <w:pPr>
        <w:spacing w:line="60" w:lineRule="auto"/>
        <w:rPr>
          <w:rFonts w:ascii="黑体" w:hAnsi="黑体" w:eastAsia="黑体"/>
          <w:b/>
          <w:bCs/>
          <w:sz w:val="32"/>
          <w:szCs w:val="32"/>
        </w:rPr>
      </w:pPr>
      <w:r>
        <w:rPr>
          <w:rFonts w:hint="eastAsia" w:ascii="黑体" w:hAnsi="黑体" w:eastAsia="黑体"/>
          <w:b/>
          <w:bCs/>
          <w:sz w:val="32"/>
          <w:szCs w:val="32"/>
        </w:rPr>
        <w:t xml:space="preserve">  三、参考书目</w:t>
      </w:r>
    </w:p>
    <w:p w14:paraId="43E1CA37">
      <w:pPr>
        <w:spacing w:line="60" w:lineRule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《卫生统计学》，方积乾主编，人民卫生出版社，2017年（第7版）。</w:t>
      </w:r>
    </w:p>
    <w:p w14:paraId="70B74431">
      <w:pPr>
        <w:ind w:firstLine="64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/>
          <w:sz w:val="32"/>
          <w:szCs w:val="32"/>
        </w:rP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>
        <w:rPr>
          <w:rFonts w:ascii="仿宋" w:hAnsi="仿宋" w:eastAsia="仿宋"/>
          <w:sz w:val="32"/>
          <w:szCs w:val="32"/>
        </w:rPr>
        <w:instrText xml:space="preserve">ADDIN CNKISM.UserStyle</w:instrText>
      </w:r>
      <w:r>
        <w:rPr>
          <w:rFonts w:ascii="仿宋" w:hAnsi="仿宋" w:eastAsia="仿宋"/>
          <w:sz w:val="32"/>
          <w:szCs w:val="32"/>
        </w:rPr>
        <w:fldChar w:fldCharType="end"/>
      </w:r>
    </w:p>
    <w:p w14:paraId="76060B0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FiOTU0YzA5MWQwODdjMWM3NWUzOGJiZGRkNjhlZGEifQ=="/>
  </w:docVars>
  <w:rsids>
    <w:rsidRoot w:val="00000000"/>
    <w:rsid w:val="2BDD6474"/>
    <w:rsid w:val="399336CF"/>
    <w:rsid w:val="61832F72"/>
    <w:rsid w:val="661F7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Times New Roman"/>
      <w:kern w:val="2"/>
      <w:sz w:val="24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3016</Words>
  <Characters>3190</Characters>
  <Lines>0</Lines>
  <Paragraphs>0</Paragraphs>
  <TotalTime>18</TotalTime>
  <ScaleCrop>false</ScaleCrop>
  <LinksUpToDate>false</LinksUpToDate>
  <CharactersWithSpaces>3615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2024-10-09T11:53:00Z</dcterms:created>
  <dc:creator>lenovo</dc:creator>
  <cp:lastModifiedBy>霞</cp:lastModifiedBy>
  <dcterms:modified xsi:type="dcterms:W3CDTF">2025-09-28T08:14:35Z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D872156EFFDE4E3FB4CA3D264F6BD9EF_12</vt:lpwstr>
  </property>
  <property fmtid="{D5CDD505-2E9C-101B-9397-08002B2CF9AE}" pid="4" name="KSOTemplateDocerSaveRecord">
    <vt:lpwstr>eyJoZGlkIjoiMmU4ZjdiNGM0ZWNhOTE2Y2VlNzliYmNhNjdkMjYyZjUiLCJ1c2VySWQiOiI0NzI5NzM5NzcifQ==</vt:lpwstr>
  </property>
</Properties>
</file>