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1F" w:rsidRPr="00D807EA" w:rsidRDefault="0028125A" w:rsidP="00D807EA">
      <w:pPr>
        <w:jc w:val="center"/>
        <w:rPr>
          <w:rFonts w:ascii="黑体" w:eastAsia="黑体" w:hAnsi="黑体"/>
          <w:sz w:val="36"/>
          <w:szCs w:val="36"/>
        </w:rPr>
      </w:pPr>
      <w:r w:rsidRPr="00D807EA">
        <w:rPr>
          <w:rFonts w:ascii="黑体" w:eastAsia="黑体" w:hAnsi="黑体" w:hint="eastAsia"/>
          <w:sz w:val="36"/>
          <w:szCs w:val="36"/>
        </w:rPr>
        <w:t>2020年人才需求计划情况表</w:t>
      </w:r>
    </w:p>
    <w:tbl>
      <w:tblPr>
        <w:tblStyle w:val="a3"/>
        <w:tblW w:w="0" w:type="auto"/>
        <w:tblLook w:val="04A0" w:firstRow="1" w:lastRow="0" w:firstColumn="1" w:lastColumn="0" w:noHBand="0" w:noVBand="1"/>
      </w:tblPr>
      <w:tblGrid>
        <w:gridCol w:w="846"/>
        <w:gridCol w:w="2551"/>
        <w:gridCol w:w="1985"/>
        <w:gridCol w:w="1417"/>
        <w:gridCol w:w="1418"/>
        <w:gridCol w:w="1559"/>
        <w:gridCol w:w="1559"/>
        <w:gridCol w:w="869"/>
        <w:gridCol w:w="1744"/>
      </w:tblGrid>
      <w:tr w:rsidR="0028125A" w:rsidTr="00D807EA">
        <w:trPr>
          <w:trHeight w:val="449"/>
        </w:trPr>
        <w:tc>
          <w:tcPr>
            <w:tcW w:w="3397" w:type="dxa"/>
            <w:gridSpan w:val="2"/>
          </w:tcPr>
          <w:p w:rsidR="0028125A" w:rsidRPr="00D807EA" w:rsidRDefault="0028125A">
            <w:pPr>
              <w:rPr>
                <w:rFonts w:ascii="黑体" w:eastAsia="黑体" w:hAnsi="黑体"/>
                <w:sz w:val="28"/>
                <w:szCs w:val="28"/>
              </w:rPr>
            </w:pPr>
            <w:r w:rsidRPr="00D807EA">
              <w:rPr>
                <w:rFonts w:ascii="黑体" w:eastAsia="黑体" w:hAnsi="黑体" w:hint="eastAsia"/>
                <w:sz w:val="28"/>
                <w:szCs w:val="28"/>
              </w:rPr>
              <w:t>学校名称：曲阜师范大学</w:t>
            </w:r>
          </w:p>
        </w:tc>
        <w:tc>
          <w:tcPr>
            <w:tcW w:w="4820" w:type="dxa"/>
            <w:gridSpan w:val="3"/>
          </w:tcPr>
          <w:p w:rsidR="0028125A" w:rsidRPr="00D807EA" w:rsidRDefault="0028125A">
            <w:pPr>
              <w:rPr>
                <w:rFonts w:ascii="黑体" w:eastAsia="黑体" w:hAnsi="黑体"/>
                <w:sz w:val="28"/>
                <w:szCs w:val="28"/>
              </w:rPr>
            </w:pPr>
            <w:r w:rsidRPr="00D807EA">
              <w:rPr>
                <w:rFonts w:ascii="黑体" w:eastAsia="黑体" w:hAnsi="黑体" w:hint="eastAsia"/>
                <w:sz w:val="28"/>
                <w:szCs w:val="28"/>
              </w:rPr>
              <w:t>网址：</w:t>
            </w:r>
            <w:hyperlink r:id="rId6" w:history="1">
              <w:r w:rsidR="009443C3">
                <w:rPr>
                  <w:rStyle w:val="a5"/>
                </w:rPr>
                <w:t>https://rsc.qfnu.edu.cn/</w:t>
              </w:r>
            </w:hyperlink>
          </w:p>
        </w:tc>
        <w:tc>
          <w:tcPr>
            <w:tcW w:w="1559" w:type="dxa"/>
          </w:tcPr>
          <w:p w:rsidR="0028125A" w:rsidRPr="00D807EA" w:rsidRDefault="0028125A">
            <w:pPr>
              <w:rPr>
                <w:rFonts w:ascii="黑体" w:eastAsia="黑体" w:hAnsi="黑体"/>
                <w:sz w:val="28"/>
                <w:szCs w:val="28"/>
              </w:rPr>
            </w:pPr>
            <w:r w:rsidRPr="00D807EA">
              <w:rPr>
                <w:rFonts w:ascii="黑体" w:eastAsia="黑体" w:hAnsi="黑体" w:hint="eastAsia"/>
                <w:sz w:val="28"/>
                <w:szCs w:val="28"/>
              </w:rPr>
              <w:t>地址：</w:t>
            </w:r>
          </w:p>
        </w:tc>
        <w:tc>
          <w:tcPr>
            <w:tcW w:w="4172" w:type="dxa"/>
            <w:gridSpan w:val="3"/>
          </w:tcPr>
          <w:p w:rsidR="0028125A" w:rsidRPr="00D807EA" w:rsidRDefault="009443C3">
            <w:pPr>
              <w:rPr>
                <w:rFonts w:ascii="黑体" w:eastAsia="黑体" w:hAnsi="黑体"/>
                <w:sz w:val="28"/>
                <w:szCs w:val="28"/>
              </w:rPr>
            </w:pPr>
            <w:r>
              <w:rPr>
                <w:rFonts w:ascii="黑体" w:eastAsia="黑体" w:hAnsi="黑体" w:hint="eastAsia"/>
                <w:sz w:val="28"/>
                <w:szCs w:val="28"/>
              </w:rPr>
              <w:t>山东省</w:t>
            </w:r>
            <w:proofErr w:type="gramStart"/>
            <w:r>
              <w:rPr>
                <w:rFonts w:ascii="黑体" w:eastAsia="黑体" w:hAnsi="黑体" w:hint="eastAsia"/>
                <w:sz w:val="28"/>
                <w:szCs w:val="28"/>
              </w:rPr>
              <w:t>曲阜市静轩</w:t>
            </w:r>
            <w:proofErr w:type="gramEnd"/>
            <w:r>
              <w:rPr>
                <w:rFonts w:ascii="黑体" w:eastAsia="黑体" w:hAnsi="黑体" w:hint="eastAsia"/>
                <w:sz w:val="28"/>
                <w:szCs w:val="28"/>
              </w:rPr>
              <w:t>西路5</w:t>
            </w:r>
            <w:r>
              <w:rPr>
                <w:rFonts w:ascii="黑体" w:eastAsia="黑体" w:hAnsi="黑体"/>
                <w:sz w:val="28"/>
                <w:szCs w:val="28"/>
              </w:rPr>
              <w:t>7</w:t>
            </w:r>
            <w:r>
              <w:rPr>
                <w:rFonts w:ascii="黑体" w:eastAsia="黑体" w:hAnsi="黑体" w:hint="eastAsia"/>
                <w:sz w:val="28"/>
                <w:szCs w:val="28"/>
              </w:rPr>
              <w:t>号</w:t>
            </w:r>
          </w:p>
        </w:tc>
      </w:tr>
      <w:tr w:rsidR="00D807EA" w:rsidTr="00D807EA">
        <w:tc>
          <w:tcPr>
            <w:tcW w:w="3397" w:type="dxa"/>
            <w:gridSpan w:val="2"/>
            <w:vAlign w:val="center"/>
          </w:tcPr>
          <w:p w:rsidR="00D807EA" w:rsidRPr="00D807EA" w:rsidRDefault="0028125A" w:rsidP="00D807EA">
            <w:pPr>
              <w:rPr>
                <w:rFonts w:ascii="黑体" w:eastAsia="黑体" w:hAnsi="黑体"/>
                <w:sz w:val="28"/>
                <w:szCs w:val="28"/>
              </w:rPr>
            </w:pPr>
            <w:r w:rsidRPr="00D807EA">
              <w:rPr>
                <w:rFonts w:ascii="黑体" w:eastAsia="黑体" w:hAnsi="黑体" w:hint="eastAsia"/>
                <w:sz w:val="28"/>
                <w:szCs w:val="28"/>
              </w:rPr>
              <w:t>联系人：</w:t>
            </w:r>
            <w:r w:rsidR="009443C3">
              <w:rPr>
                <w:rFonts w:ascii="黑体" w:eastAsia="黑体" w:hAnsi="黑体" w:hint="eastAsia"/>
                <w:sz w:val="28"/>
                <w:szCs w:val="28"/>
              </w:rPr>
              <w:t>郭智辉</w:t>
            </w:r>
          </w:p>
        </w:tc>
        <w:tc>
          <w:tcPr>
            <w:tcW w:w="4820" w:type="dxa"/>
            <w:gridSpan w:val="3"/>
            <w:vAlign w:val="center"/>
          </w:tcPr>
          <w:p w:rsidR="0028125A" w:rsidRPr="00D807EA" w:rsidRDefault="0028125A" w:rsidP="00D807EA">
            <w:pPr>
              <w:rPr>
                <w:rFonts w:ascii="黑体" w:eastAsia="黑体" w:hAnsi="黑体"/>
                <w:sz w:val="28"/>
                <w:szCs w:val="28"/>
              </w:rPr>
            </w:pPr>
            <w:r w:rsidRPr="00D807EA">
              <w:rPr>
                <w:rFonts w:ascii="黑体" w:eastAsia="黑体" w:hAnsi="黑体" w:hint="eastAsia"/>
                <w:sz w:val="28"/>
                <w:szCs w:val="28"/>
              </w:rPr>
              <w:t>联系电话：</w:t>
            </w:r>
            <w:r w:rsidR="009443C3">
              <w:rPr>
                <w:rFonts w:ascii="黑体" w:eastAsia="黑体" w:hAnsi="黑体" w:hint="eastAsia"/>
                <w:sz w:val="28"/>
                <w:szCs w:val="28"/>
              </w:rPr>
              <w:t>4</w:t>
            </w:r>
            <w:r w:rsidR="009443C3">
              <w:rPr>
                <w:rFonts w:ascii="黑体" w:eastAsia="黑体" w:hAnsi="黑体"/>
                <w:sz w:val="28"/>
                <w:szCs w:val="28"/>
              </w:rPr>
              <w:t>456483</w:t>
            </w:r>
          </w:p>
        </w:tc>
        <w:tc>
          <w:tcPr>
            <w:tcW w:w="1559" w:type="dxa"/>
            <w:vAlign w:val="center"/>
          </w:tcPr>
          <w:p w:rsidR="0028125A" w:rsidRPr="00D807EA" w:rsidRDefault="0028125A" w:rsidP="00D807EA">
            <w:pPr>
              <w:rPr>
                <w:rFonts w:ascii="黑体" w:eastAsia="黑体" w:hAnsi="黑体"/>
                <w:sz w:val="28"/>
                <w:szCs w:val="28"/>
              </w:rPr>
            </w:pPr>
            <w:r w:rsidRPr="00D807EA">
              <w:rPr>
                <w:rFonts w:ascii="黑体" w:eastAsia="黑体" w:hAnsi="黑体" w:hint="eastAsia"/>
                <w:sz w:val="28"/>
                <w:szCs w:val="28"/>
              </w:rPr>
              <w:t>电子邮箱：</w:t>
            </w:r>
          </w:p>
        </w:tc>
        <w:tc>
          <w:tcPr>
            <w:tcW w:w="4172" w:type="dxa"/>
            <w:gridSpan w:val="3"/>
            <w:vAlign w:val="center"/>
          </w:tcPr>
          <w:p w:rsidR="0028125A" w:rsidRPr="00D807EA" w:rsidRDefault="00D54A50" w:rsidP="00D807EA">
            <w:pPr>
              <w:rPr>
                <w:rFonts w:ascii="黑体" w:eastAsia="黑体" w:hAnsi="黑体"/>
                <w:sz w:val="28"/>
                <w:szCs w:val="28"/>
              </w:rPr>
            </w:pPr>
            <w:hyperlink r:id="rId7" w:history="1">
              <w:r>
                <w:rPr>
                  <w:rStyle w:val="a5"/>
                  <w:rFonts w:ascii="仿宋" w:eastAsia="仿宋" w:hAnsi="仿宋" w:hint="eastAsia"/>
                  <w:sz w:val="32"/>
                  <w:szCs w:val="32"/>
                  <w:shd w:val="clear" w:color="auto" w:fill="FFFFFF"/>
                </w:rPr>
                <w:t>rsk6483@126.com</w:t>
              </w:r>
            </w:hyperlink>
          </w:p>
        </w:tc>
      </w:tr>
      <w:tr w:rsidR="0028125A" w:rsidTr="006F1B59">
        <w:tc>
          <w:tcPr>
            <w:tcW w:w="13948" w:type="dxa"/>
            <w:gridSpan w:val="9"/>
          </w:tcPr>
          <w:p w:rsidR="0028125A" w:rsidRPr="00D807EA" w:rsidRDefault="0028125A" w:rsidP="00D807EA">
            <w:pPr>
              <w:jc w:val="center"/>
              <w:rPr>
                <w:rFonts w:ascii="黑体" w:eastAsia="黑体" w:hAnsi="黑体"/>
                <w:sz w:val="28"/>
                <w:szCs w:val="28"/>
              </w:rPr>
            </w:pPr>
            <w:r w:rsidRPr="00D807EA">
              <w:rPr>
                <w:rFonts w:ascii="黑体" w:eastAsia="黑体" w:hAnsi="黑体" w:hint="eastAsia"/>
                <w:sz w:val="28"/>
                <w:szCs w:val="28"/>
              </w:rPr>
              <w:t>单位简介</w:t>
            </w:r>
          </w:p>
        </w:tc>
      </w:tr>
      <w:tr w:rsidR="0028125A" w:rsidTr="006F1B59">
        <w:tc>
          <w:tcPr>
            <w:tcW w:w="13948" w:type="dxa"/>
            <w:gridSpan w:val="9"/>
          </w:tcPr>
          <w:p w:rsidR="00D54A50" w:rsidRDefault="00D54A50" w:rsidP="00D54A50">
            <w:pPr>
              <w:pStyle w:val="a6"/>
              <w:shd w:val="clear" w:color="auto" w:fill="FFFFFF"/>
              <w:spacing w:before="0" w:beforeAutospacing="0" w:after="0" w:afterAutospacing="0" w:line="480" w:lineRule="atLeast"/>
              <w:ind w:firstLine="645"/>
              <w:jc w:val="both"/>
              <w:rPr>
                <w:rFonts w:ascii="微软雅黑" w:eastAsia="微软雅黑" w:hAnsi="微软雅黑"/>
                <w:color w:val="333333"/>
              </w:rPr>
            </w:pPr>
            <w:r>
              <w:rPr>
                <w:rFonts w:ascii="仿宋" w:eastAsia="仿宋" w:hAnsi="仿宋" w:hint="eastAsia"/>
                <w:color w:val="333333"/>
                <w:sz w:val="32"/>
                <w:szCs w:val="32"/>
              </w:rPr>
              <w:t>曲阜师范大学设学于孔子故里曲阜，在美丽的海滨城市日照建有新校区，是山东省属重点大学。学校拥有ESI世界前1%学科3个（工程学、化学、数学），山东省立项建设一流学科6个（工程学、数学、中国史、化学、物理学、中国语言文学）。现有博士后科研流动站11个；一级学科博士学位授权点11个、专业博士学位授权点1个；一级学科硕士学位授权点25个、硕士专业学位授权点14个；本科专业87个，其中8个专业入选国家级一流本科专业建设点，12个专业入选山东省级一流本科专业建设点。形成了涵盖文、理、工、管、法等十大学科门类的综合性学科专业体系，构建了各级学位和博士后培养贯通的完备人才培养体系。</w:t>
            </w:r>
          </w:p>
          <w:p w:rsidR="0028125A" w:rsidRPr="00D54A50" w:rsidRDefault="00D54A50" w:rsidP="00D54A50">
            <w:pPr>
              <w:pStyle w:val="a6"/>
              <w:shd w:val="clear" w:color="auto" w:fill="FFFFFF"/>
              <w:spacing w:before="0" w:beforeAutospacing="0" w:after="0" w:afterAutospacing="0" w:line="480" w:lineRule="atLeast"/>
              <w:ind w:firstLine="645"/>
              <w:jc w:val="both"/>
              <w:rPr>
                <w:rFonts w:ascii="微软雅黑" w:eastAsia="微软雅黑" w:hAnsi="微软雅黑"/>
                <w:color w:val="333333"/>
              </w:rPr>
            </w:pPr>
            <w:r>
              <w:rPr>
                <w:rFonts w:ascii="仿宋" w:eastAsia="仿宋" w:hAnsi="仿宋" w:hint="eastAsia"/>
                <w:color w:val="333333"/>
                <w:sz w:val="32"/>
                <w:szCs w:val="32"/>
              </w:rPr>
              <w:t>学校</w:t>
            </w:r>
            <w:proofErr w:type="gramStart"/>
            <w:r>
              <w:rPr>
                <w:rFonts w:ascii="仿宋" w:eastAsia="仿宋" w:hAnsi="仿宋" w:hint="eastAsia"/>
                <w:color w:val="333333"/>
                <w:sz w:val="32"/>
                <w:szCs w:val="32"/>
              </w:rPr>
              <w:t>现有双聘院士</w:t>
            </w:r>
            <w:proofErr w:type="gramEnd"/>
            <w:r>
              <w:rPr>
                <w:rFonts w:ascii="仿宋" w:eastAsia="仿宋" w:hAnsi="仿宋" w:hint="eastAsia"/>
                <w:color w:val="333333"/>
                <w:sz w:val="32"/>
                <w:szCs w:val="32"/>
              </w:rPr>
              <w:t>2人，国家“万人计划”科技创新领军人才1人、哲学社会科学领军人才3人，全国文化名家暨“四个一批”人才3人，新世纪百千万人才工程国家级人选2人，国家级教学</w:t>
            </w:r>
            <w:r>
              <w:rPr>
                <w:rFonts w:ascii="仿宋" w:eastAsia="仿宋" w:hAnsi="仿宋" w:hint="eastAsia"/>
                <w:color w:val="333333"/>
                <w:sz w:val="32"/>
                <w:szCs w:val="32"/>
              </w:rPr>
              <w:lastRenderedPageBreak/>
              <w:t>名师1人，国家督学1人，国家杰出青年科学基金获得者2人，国家长江学者青年专家1人，教育部“新世纪优秀人才支持计划”9人，国务院学位委员会专业学位教育指导委员会委员1人，教育部高校专业教学指导委员会副主任委员1人、委员1人，国家和山东省有突出贡献中青年专家24人，泰山学者特聘教授11人，泰山学者青年专家12人，</w:t>
            </w:r>
            <w:proofErr w:type="gramStart"/>
            <w:r>
              <w:rPr>
                <w:rFonts w:ascii="仿宋" w:eastAsia="仿宋" w:hAnsi="仿宋" w:hint="eastAsia"/>
                <w:color w:val="333333"/>
                <w:sz w:val="32"/>
                <w:szCs w:val="32"/>
              </w:rPr>
              <w:t>省智库</w:t>
            </w:r>
            <w:proofErr w:type="gramEnd"/>
            <w:r>
              <w:rPr>
                <w:rFonts w:ascii="仿宋" w:eastAsia="仿宋" w:hAnsi="仿宋" w:hint="eastAsia"/>
                <w:color w:val="333333"/>
                <w:sz w:val="32"/>
                <w:szCs w:val="32"/>
              </w:rPr>
              <w:t>高端人才专家8人，享受国务院政府特殊津贴17人，全国模范教师5人，全国教育硕士优秀教师5人，凝聚了一支高层次的人才队伍。</w:t>
            </w:r>
          </w:p>
        </w:tc>
      </w:tr>
      <w:tr w:rsidR="0028125A" w:rsidTr="006F1B59">
        <w:tc>
          <w:tcPr>
            <w:tcW w:w="13948" w:type="dxa"/>
            <w:gridSpan w:val="9"/>
          </w:tcPr>
          <w:p w:rsidR="0028125A" w:rsidRPr="00D807EA" w:rsidRDefault="0028125A" w:rsidP="00D807EA">
            <w:pPr>
              <w:jc w:val="center"/>
              <w:rPr>
                <w:rFonts w:ascii="黑体" w:eastAsia="黑体" w:hAnsi="黑体"/>
                <w:sz w:val="28"/>
                <w:szCs w:val="28"/>
              </w:rPr>
            </w:pPr>
            <w:r w:rsidRPr="00D807EA">
              <w:rPr>
                <w:rFonts w:ascii="黑体" w:eastAsia="黑体" w:hAnsi="黑体" w:hint="eastAsia"/>
                <w:sz w:val="28"/>
                <w:szCs w:val="28"/>
              </w:rPr>
              <w:lastRenderedPageBreak/>
              <w:t>学校待遇</w:t>
            </w:r>
          </w:p>
        </w:tc>
      </w:tr>
      <w:tr w:rsidR="0028125A" w:rsidTr="006F1B59">
        <w:tc>
          <w:tcPr>
            <w:tcW w:w="13948" w:type="dxa"/>
            <w:gridSpan w:val="9"/>
          </w:tcPr>
          <w:p w:rsidR="00D54A50" w:rsidRDefault="00D54A50" w:rsidP="00D54A50">
            <w:pPr>
              <w:pStyle w:val="a6"/>
              <w:shd w:val="clear" w:color="auto" w:fill="FFFFFF"/>
              <w:spacing w:before="0" w:beforeAutospacing="0" w:after="0" w:afterAutospacing="0" w:line="480" w:lineRule="atLeast"/>
              <w:ind w:firstLine="645"/>
              <w:jc w:val="both"/>
              <w:rPr>
                <w:rFonts w:ascii="微软雅黑" w:eastAsia="微软雅黑" w:hAnsi="微软雅黑"/>
                <w:color w:val="333333"/>
              </w:rPr>
            </w:pPr>
            <w:r>
              <w:rPr>
                <w:rFonts w:ascii="仿宋" w:eastAsia="仿宋" w:hAnsi="仿宋" w:hint="eastAsia"/>
                <w:color w:val="333333"/>
                <w:sz w:val="32"/>
                <w:szCs w:val="32"/>
              </w:rPr>
              <w:t>按照国家、省、学校有关规定执行。</w:t>
            </w:r>
          </w:p>
          <w:p w:rsidR="00D54A50" w:rsidRDefault="00D54A50" w:rsidP="00D54A50">
            <w:pPr>
              <w:pStyle w:val="a6"/>
              <w:shd w:val="clear" w:color="auto" w:fill="FFFFFF"/>
              <w:spacing w:before="0" w:beforeAutospacing="0" w:after="0" w:afterAutospacing="0" w:line="480" w:lineRule="atLeast"/>
              <w:ind w:firstLine="645"/>
              <w:jc w:val="both"/>
              <w:rPr>
                <w:rFonts w:ascii="微软雅黑" w:eastAsia="微软雅黑" w:hAnsi="微软雅黑" w:hint="eastAsia"/>
                <w:color w:val="333333"/>
              </w:rPr>
            </w:pPr>
            <w:r>
              <w:rPr>
                <w:rFonts w:ascii="仿宋" w:eastAsia="仿宋" w:hAnsi="仿宋" w:hint="eastAsia"/>
                <w:color w:val="333333"/>
                <w:sz w:val="32"/>
                <w:szCs w:val="32"/>
              </w:rPr>
              <w:t>（一）入职的高层次人才，年薪可达180万元，提供100-300万元的安家费，科研启动费可达1000万元；可安置家属；</w:t>
            </w:r>
          </w:p>
          <w:p w:rsidR="00D54A50" w:rsidRDefault="00D54A50" w:rsidP="00D54A50">
            <w:pPr>
              <w:pStyle w:val="a6"/>
              <w:shd w:val="clear" w:color="auto" w:fill="FFFFFF"/>
              <w:spacing w:before="0" w:beforeAutospacing="0" w:after="0" w:afterAutospacing="0" w:line="480" w:lineRule="atLeast"/>
              <w:ind w:firstLine="645"/>
              <w:jc w:val="both"/>
              <w:rPr>
                <w:rFonts w:ascii="微软雅黑" w:eastAsia="微软雅黑" w:hAnsi="微软雅黑" w:hint="eastAsia"/>
                <w:color w:val="333333"/>
              </w:rPr>
            </w:pPr>
            <w:r>
              <w:rPr>
                <w:rFonts w:ascii="仿宋" w:eastAsia="仿宋" w:hAnsi="仿宋" w:hint="eastAsia"/>
                <w:color w:val="333333"/>
                <w:sz w:val="32"/>
                <w:szCs w:val="32"/>
              </w:rPr>
              <w:t>（二）入职的海内外优秀青年博士，提供10-120万元安家费，5-10万元科研经费；特别优秀的青年博士可享受“青年副教授”待遇并安置家属；</w:t>
            </w:r>
          </w:p>
          <w:p w:rsidR="00D54A50" w:rsidRDefault="00D54A50" w:rsidP="00D54A50">
            <w:pPr>
              <w:pStyle w:val="a6"/>
              <w:shd w:val="clear" w:color="auto" w:fill="FCFBF8"/>
              <w:spacing w:before="0" w:beforeAutospacing="0" w:after="0" w:afterAutospacing="0" w:line="480" w:lineRule="atLeast"/>
              <w:ind w:firstLine="645"/>
              <w:rPr>
                <w:rFonts w:ascii="微软雅黑" w:eastAsia="微软雅黑" w:hAnsi="微软雅黑" w:hint="eastAsia"/>
                <w:color w:val="333333"/>
              </w:rPr>
            </w:pPr>
            <w:r>
              <w:rPr>
                <w:rFonts w:ascii="仿宋" w:eastAsia="仿宋" w:hAnsi="仿宋" w:hint="eastAsia"/>
                <w:color w:val="333333"/>
                <w:sz w:val="32"/>
                <w:szCs w:val="32"/>
              </w:rPr>
              <w:lastRenderedPageBreak/>
              <w:t>（三）双博士夫妇引进待遇单独核算，对符合学校引进文件规定的双博士夫妇，每人增发税前5万元生活补贴；</w:t>
            </w:r>
          </w:p>
          <w:p w:rsidR="00D54A50" w:rsidRDefault="00D54A50" w:rsidP="00D54A50">
            <w:pPr>
              <w:pStyle w:val="a6"/>
              <w:shd w:val="clear" w:color="auto" w:fill="FFFFFF"/>
              <w:spacing w:before="0" w:beforeAutospacing="0" w:after="0" w:afterAutospacing="0" w:line="480" w:lineRule="atLeast"/>
              <w:ind w:firstLine="645"/>
              <w:jc w:val="both"/>
              <w:rPr>
                <w:rFonts w:ascii="微软雅黑" w:eastAsia="微软雅黑" w:hAnsi="微软雅黑" w:hint="eastAsia"/>
                <w:color w:val="333333"/>
              </w:rPr>
            </w:pPr>
            <w:r>
              <w:rPr>
                <w:rFonts w:ascii="仿宋" w:eastAsia="仿宋" w:hAnsi="仿宋" w:hint="eastAsia"/>
                <w:color w:val="333333"/>
                <w:sz w:val="32"/>
                <w:szCs w:val="32"/>
              </w:rPr>
              <w:t>（四）海外青年博士毕业生或在海外有两年及以上海外博士后研究工作经历的人才，提供4-20万元生活补贴；博士学科为教育部全国高校学科评估排名前三名或A+类学科以及博士（博士后）导师符合学校引进文件规定的人才，提供4-10万元生活补贴；</w:t>
            </w:r>
          </w:p>
          <w:p w:rsidR="00D54A50" w:rsidRDefault="00D54A50" w:rsidP="00D54A50">
            <w:pPr>
              <w:pStyle w:val="a6"/>
              <w:shd w:val="clear" w:color="auto" w:fill="FFFFFF"/>
              <w:spacing w:before="0" w:beforeAutospacing="0" w:after="0" w:afterAutospacing="0" w:line="480" w:lineRule="atLeast"/>
              <w:ind w:firstLine="645"/>
              <w:rPr>
                <w:rFonts w:ascii="微软雅黑" w:eastAsia="微软雅黑" w:hAnsi="微软雅黑" w:hint="eastAsia"/>
                <w:color w:val="333333"/>
              </w:rPr>
            </w:pPr>
            <w:r>
              <w:rPr>
                <w:rFonts w:ascii="仿宋" w:eastAsia="仿宋" w:hAnsi="仿宋" w:hint="eastAsia"/>
                <w:color w:val="333333"/>
                <w:sz w:val="32"/>
                <w:szCs w:val="32"/>
              </w:rPr>
              <w:t>（五）</w:t>
            </w:r>
            <w:r>
              <w:rPr>
                <w:rFonts w:ascii="仿宋" w:eastAsia="仿宋" w:hAnsi="仿宋" w:hint="eastAsia"/>
                <w:color w:val="333333"/>
                <w:spacing w:val="15"/>
                <w:sz w:val="32"/>
                <w:szCs w:val="32"/>
                <w:shd w:val="clear" w:color="auto" w:fill="FFFFFF"/>
              </w:rPr>
              <w:t>学校在人才工程、岗位聘任、访学进修、科研团队建设、</w:t>
            </w:r>
            <w:r>
              <w:rPr>
                <w:rFonts w:ascii="仿宋" w:eastAsia="仿宋" w:hAnsi="仿宋" w:hint="eastAsia"/>
                <w:color w:val="333333"/>
                <w:sz w:val="32"/>
                <w:szCs w:val="32"/>
              </w:rPr>
              <w:t>学科带头人培养等方面努力搭建人才成长平台；</w:t>
            </w:r>
          </w:p>
          <w:p w:rsidR="00D54A50" w:rsidRDefault="00D54A50" w:rsidP="00D54A50">
            <w:pPr>
              <w:pStyle w:val="a6"/>
              <w:shd w:val="clear" w:color="auto" w:fill="FFFFFF"/>
              <w:spacing w:before="0" w:beforeAutospacing="0" w:after="0" w:afterAutospacing="0" w:line="480" w:lineRule="atLeast"/>
              <w:ind w:firstLine="645"/>
              <w:rPr>
                <w:rFonts w:ascii="微软雅黑" w:eastAsia="微软雅黑" w:hAnsi="微软雅黑" w:hint="eastAsia"/>
                <w:color w:val="333333"/>
              </w:rPr>
            </w:pPr>
            <w:r>
              <w:rPr>
                <w:rFonts w:ascii="仿宋" w:eastAsia="仿宋" w:hAnsi="仿宋" w:hint="eastAsia"/>
                <w:color w:val="333333"/>
                <w:sz w:val="32"/>
                <w:szCs w:val="32"/>
              </w:rPr>
              <w:t>（六）曲阜师范大学附属中小学、附属实验学校是省级规范化学校，为子女成长提供良好就学环境，学校为教师子女入学提供协助。</w:t>
            </w:r>
          </w:p>
          <w:p w:rsidR="0028125A" w:rsidRPr="00D54A50" w:rsidRDefault="0028125A">
            <w:pPr>
              <w:rPr>
                <w:rFonts w:ascii="黑体" w:eastAsia="黑体" w:hAnsi="黑体"/>
                <w:sz w:val="28"/>
                <w:szCs w:val="28"/>
              </w:rPr>
            </w:pPr>
          </w:p>
        </w:tc>
      </w:tr>
      <w:tr w:rsidR="0028125A" w:rsidTr="006F1B59">
        <w:tc>
          <w:tcPr>
            <w:tcW w:w="13948" w:type="dxa"/>
            <w:gridSpan w:val="9"/>
          </w:tcPr>
          <w:p w:rsidR="0028125A" w:rsidRPr="00D807EA" w:rsidRDefault="0028125A" w:rsidP="00D807EA">
            <w:pPr>
              <w:jc w:val="center"/>
              <w:rPr>
                <w:rFonts w:ascii="黑体" w:eastAsia="黑体" w:hAnsi="黑体"/>
                <w:sz w:val="28"/>
                <w:szCs w:val="28"/>
              </w:rPr>
            </w:pPr>
            <w:r w:rsidRPr="00D807EA">
              <w:rPr>
                <w:rFonts w:ascii="黑体" w:eastAsia="黑体" w:hAnsi="黑体" w:hint="eastAsia"/>
                <w:sz w:val="28"/>
                <w:szCs w:val="28"/>
              </w:rPr>
              <w:lastRenderedPageBreak/>
              <w:t>岗位需求</w:t>
            </w:r>
          </w:p>
        </w:tc>
      </w:tr>
      <w:tr w:rsidR="00D807EA" w:rsidTr="00D807EA">
        <w:tc>
          <w:tcPr>
            <w:tcW w:w="846" w:type="dxa"/>
            <w:vAlign w:val="center"/>
          </w:tcPr>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序号</w:t>
            </w:r>
          </w:p>
        </w:tc>
        <w:tc>
          <w:tcPr>
            <w:tcW w:w="4536" w:type="dxa"/>
            <w:gridSpan w:val="2"/>
            <w:vAlign w:val="center"/>
          </w:tcPr>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学科领域</w:t>
            </w:r>
          </w:p>
        </w:tc>
        <w:tc>
          <w:tcPr>
            <w:tcW w:w="1417" w:type="dxa"/>
            <w:vAlign w:val="center"/>
          </w:tcPr>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拟聘岗位</w:t>
            </w:r>
          </w:p>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职务</w:t>
            </w:r>
          </w:p>
        </w:tc>
        <w:tc>
          <w:tcPr>
            <w:tcW w:w="1418" w:type="dxa"/>
            <w:vAlign w:val="center"/>
          </w:tcPr>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专业及</w:t>
            </w:r>
          </w:p>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履历要求</w:t>
            </w:r>
          </w:p>
        </w:tc>
        <w:tc>
          <w:tcPr>
            <w:tcW w:w="1559" w:type="dxa"/>
            <w:vAlign w:val="center"/>
          </w:tcPr>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学位要求</w:t>
            </w:r>
          </w:p>
        </w:tc>
        <w:tc>
          <w:tcPr>
            <w:tcW w:w="1559" w:type="dxa"/>
            <w:vAlign w:val="center"/>
          </w:tcPr>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年龄要求</w:t>
            </w:r>
          </w:p>
        </w:tc>
        <w:tc>
          <w:tcPr>
            <w:tcW w:w="869" w:type="dxa"/>
            <w:vAlign w:val="center"/>
          </w:tcPr>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需求</w:t>
            </w:r>
          </w:p>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人数</w:t>
            </w:r>
          </w:p>
        </w:tc>
        <w:tc>
          <w:tcPr>
            <w:tcW w:w="1744" w:type="dxa"/>
            <w:vAlign w:val="center"/>
          </w:tcPr>
          <w:p w:rsidR="0028125A" w:rsidRPr="00D807EA" w:rsidRDefault="0028125A" w:rsidP="00D807EA">
            <w:pPr>
              <w:spacing w:line="300" w:lineRule="exact"/>
              <w:jc w:val="center"/>
              <w:rPr>
                <w:rFonts w:ascii="黑体" w:eastAsia="黑体" w:hAnsi="黑体"/>
                <w:sz w:val="28"/>
                <w:szCs w:val="28"/>
              </w:rPr>
            </w:pPr>
            <w:r w:rsidRPr="00D807EA">
              <w:rPr>
                <w:rFonts w:ascii="黑体" w:eastAsia="黑体" w:hAnsi="黑体" w:hint="eastAsia"/>
                <w:sz w:val="28"/>
                <w:szCs w:val="28"/>
              </w:rPr>
              <w:t>备注</w:t>
            </w: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hint="eastAsia"/>
                <w:sz w:val="28"/>
                <w:szCs w:val="28"/>
              </w:rPr>
              <w:t>新能源新材料</w:t>
            </w:r>
          </w:p>
        </w:tc>
        <w:tc>
          <w:tcPr>
            <w:tcW w:w="1417" w:type="dxa"/>
            <w:tcBorders>
              <w:top w:val="single" w:sz="4" w:space="0" w:color="auto"/>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教授级领军人物</w:t>
            </w:r>
          </w:p>
        </w:tc>
        <w:tc>
          <w:tcPr>
            <w:tcW w:w="1418" w:type="dxa"/>
            <w:tcBorders>
              <w:top w:val="single" w:sz="4" w:space="0" w:color="auto"/>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量子功能材料或能</w:t>
            </w:r>
            <w:proofErr w:type="gramStart"/>
            <w:r w:rsidRPr="00511539">
              <w:rPr>
                <w:rFonts w:ascii="黑体" w:eastAsia="黑体" w:hAnsi="黑体" w:hint="eastAsia"/>
                <w:sz w:val="28"/>
                <w:szCs w:val="28"/>
              </w:rPr>
              <w:lastRenderedPageBreak/>
              <w:t>源材料</w:t>
            </w:r>
            <w:proofErr w:type="gramEnd"/>
          </w:p>
        </w:tc>
        <w:tc>
          <w:tcPr>
            <w:tcW w:w="1559" w:type="dxa"/>
            <w:tcBorders>
              <w:top w:val="single" w:sz="4" w:space="0" w:color="000000"/>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lastRenderedPageBreak/>
              <w:t>博士学位</w:t>
            </w:r>
          </w:p>
        </w:tc>
        <w:tc>
          <w:tcPr>
            <w:tcW w:w="1559" w:type="dxa"/>
            <w:tcBorders>
              <w:top w:val="single" w:sz="4" w:space="0" w:color="auto"/>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55周岁以下(Under </w:t>
            </w:r>
            <w:r w:rsidRPr="00511539">
              <w:rPr>
                <w:rFonts w:ascii="黑体" w:eastAsia="黑体" w:hAnsi="黑体" w:hint="eastAsia"/>
                <w:sz w:val="28"/>
                <w:szCs w:val="28"/>
              </w:rPr>
              <w:lastRenderedPageBreak/>
              <w:t>55 years old)</w:t>
            </w:r>
          </w:p>
        </w:tc>
        <w:tc>
          <w:tcPr>
            <w:tcW w:w="869" w:type="dxa"/>
            <w:tcBorders>
              <w:top w:val="single" w:sz="4" w:space="0" w:color="auto"/>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lastRenderedPageBreak/>
              <w:t>2</w:t>
            </w:r>
          </w:p>
        </w:tc>
        <w:tc>
          <w:tcPr>
            <w:tcW w:w="1744" w:type="dxa"/>
          </w:tcPr>
          <w:p w:rsidR="00511539" w:rsidRPr="00D807EA" w:rsidRDefault="00511539" w:rsidP="00511539">
            <w:pPr>
              <w:rPr>
                <w:rFonts w:ascii="黑体" w:eastAsia="黑体" w:hAnsi="黑体"/>
                <w:sz w:val="28"/>
                <w:szCs w:val="28"/>
              </w:rPr>
            </w:pP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新一代信息技术产业</w:t>
            </w:r>
          </w:p>
        </w:tc>
        <w:tc>
          <w:tcPr>
            <w:tcW w:w="1417"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教授级领军人物</w:t>
            </w:r>
          </w:p>
        </w:tc>
        <w:tc>
          <w:tcPr>
            <w:tcW w:w="1418"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量子信息技术</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55周岁以下(Under 55 years old)</w:t>
            </w:r>
          </w:p>
        </w:tc>
        <w:tc>
          <w:tcPr>
            <w:tcW w:w="86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511539" w:rsidRPr="00D807EA" w:rsidRDefault="00511539" w:rsidP="00511539">
            <w:pPr>
              <w:rPr>
                <w:rFonts w:ascii="黑体" w:eastAsia="黑体" w:hAnsi="黑体"/>
                <w:sz w:val="28"/>
                <w:szCs w:val="28"/>
              </w:rPr>
            </w:pP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nil"/>
              <w:bottom w:val="single" w:sz="4" w:space="0" w:color="000000"/>
              <w:right w:val="nil"/>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文化创意产业</w:t>
            </w:r>
          </w:p>
        </w:tc>
        <w:tc>
          <w:tcPr>
            <w:tcW w:w="1417" w:type="dxa"/>
            <w:tcBorders>
              <w:top w:val="nil"/>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教授级领军人物</w:t>
            </w:r>
          </w:p>
        </w:tc>
        <w:tc>
          <w:tcPr>
            <w:tcW w:w="1418"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文化产业管理</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55周岁以下(Under 55 years old)</w:t>
            </w:r>
          </w:p>
        </w:tc>
        <w:tc>
          <w:tcPr>
            <w:tcW w:w="869" w:type="dxa"/>
            <w:tcBorders>
              <w:top w:val="nil"/>
              <w:left w:val="nil"/>
              <w:bottom w:val="single" w:sz="4" w:space="0" w:color="auto"/>
              <w:right w:val="nil"/>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511539" w:rsidRPr="00D807EA" w:rsidRDefault="00511539" w:rsidP="00511539">
            <w:pPr>
              <w:rPr>
                <w:rFonts w:ascii="黑体" w:eastAsia="黑体" w:hAnsi="黑体"/>
                <w:sz w:val="28"/>
                <w:szCs w:val="28"/>
              </w:rPr>
            </w:pP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高端装备产业 </w:t>
            </w:r>
          </w:p>
        </w:tc>
        <w:tc>
          <w:tcPr>
            <w:tcW w:w="1417"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418"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机器人</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40周岁以下(Under 40 years old)</w:t>
            </w:r>
          </w:p>
        </w:tc>
        <w:tc>
          <w:tcPr>
            <w:tcW w:w="86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511539" w:rsidRPr="00D807EA" w:rsidRDefault="00511539" w:rsidP="00511539">
            <w:pPr>
              <w:rPr>
                <w:rFonts w:ascii="黑体" w:eastAsia="黑体" w:hAnsi="黑体"/>
                <w:sz w:val="28"/>
                <w:szCs w:val="28"/>
              </w:rPr>
            </w:pP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现代金融产业</w:t>
            </w:r>
          </w:p>
        </w:tc>
        <w:tc>
          <w:tcPr>
            <w:tcW w:w="1417"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教授级领军人物</w:t>
            </w:r>
          </w:p>
        </w:tc>
        <w:tc>
          <w:tcPr>
            <w:tcW w:w="1418"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贸易金融</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55周岁以下(Under 55 years old)</w:t>
            </w:r>
          </w:p>
        </w:tc>
        <w:tc>
          <w:tcPr>
            <w:tcW w:w="86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511539" w:rsidRPr="00D807EA" w:rsidRDefault="00511539" w:rsidP="00511539">
            <w:pPr>
              <w:rPr>
                <w:rFonts w:ascii="黑体" w:eastAsia="黑体" w:hAnsi="黑体"/>
                <w:sz w:val="28"/>
                <w:szCs w:val="28"/>
              </w:rPr>
            </w:pP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新一代信息技术产业</w:t>
            </w:r>
          </w:p>
        </w:tc>
        <w:tc>
          <w:tcPr>
            <w:tcW w:w="1417"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hint="eastAsia"/>
                <w:sz w:val="28"/>
                <w:szCs w:val="28"/>
              </w:rPr>
              <w:t>教授或研究员</w:t>
            </w:r>
          </w:p>
        </w:tc>
        <w:tc>
          <w:tcPr>
            <w:tcW w:w="1418"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计算机科学与技术及相关专业</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sz w:val="28"/>
                <w:szCs w:val="28"/>
              </w:rPr>
              <w:t>55</w:t>
            </w:r>
            <w:r w:rsidRPr="00511539">
              <w:rPr>
                <w:rFonts w:ascii="黑体" w:eastAsia="黑体" w:hAnsi="黑体" w:hint="eastAsia"/>
                <w:sz w:val="28"/>
                <w:szCs w:val="28"/>
              </w:rPr>
              <w:t>周岁以下</w:t>
            </w:r>
            <w:r w:rsidRPr="00511539">
              <w:rPr>
                <w:rFonts w:ascii="黑体" w:eastAsia="黑体" w:hAnsi="黑体"/>
                <w:sz w:val="28"/>
                <w:szCs w:val="28"/>
              </w:rPr>
              <w:t>(Under 55 years old)</w:t>
            </w:r>
          </w:p>
        </w:tc>
        <w:tc>
          <w:tcPr>
            <w:tcW w:w="86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sz w:val="28"/>
                <w:szCs w:val="28"/>
              </w:rPr>
              <w:t xml:space="preserve">　</w:t>
            </w:r>
          </w:p>
        </w:tc>
        <w:tc>
          <w:tcPr>
            <w:tcW w:w="1744" w:type="dxa"/>
          </w:tcPr>
          <w:p w:rsidR="00511539" w:rsidRPr="00D807EA" w:rsidRDefault="00511539" w:rsidP="00511539">
            <w:pPr>
              <w:rPr>
                <w:rFonts w:ascii="黑体" w:eastAsia="黑体" w:hAnsi="黑体"/>
                <w:sz w:val="28"/>
                <w:szCs w:val="28"/>
              </w:rPr>
            </w:pP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hint="eastAsia"/>
                <w:sz w:val="28"/>
                <w:szCs w:val="28"/>
              </w:rPr>
              <w:t>新一代信息技术产业</w:t>
            </w:r>
          </w:p>
        </w:tc>
        <w:tc>
          <w:tcPr>
            <w:tcW w:w="1417"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hint="eastAsia"/>
                <w:sz w:val="28"/>
                <w:szCs w:val="28"/>
              </w:rPr>
              <w:t>教授或研究员</w:t>
            </w:r>
          </w:p>
        </w:tc>
        <w:tc>
          <w:tcPr>
            <w:tcW w:w="1418"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人工智能</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sz w:val="28"/>
                <w:szCs w:val="28"/>
              </w:rPr>
              <w:t>55</w:t>
            </w:r>
            <w:r w:rsidRPr="00511539">
              <w:rPr>
                <w:rFonts w:ascii="黑体" w:eastAsia="黑体" w:hAnsi="黑体" w:hint="eastAsia"/>
                <w:sz w:val="28"/>
                <w:szCs w:val="28"/>
              </w:rPr>
              <w:t>周岁以下</w:t>
            </w:r>
            <w:r w:rsidRPr="00511539">
              <w:rPr>
                <w:rFonts w:ascii="黑体" w:eastAsia="黑体" w:hAnsi="黑体"/>
                <w:sz w:val="28"/>
                <w:szCs w:val="28"/>
              </w:rPr>
              <w:t>(Under 55 years old)</w:t>
            </w:r>
          </w:p>
        </w:tc>
        <w:tc>
          <w:tcPr>
            <w:tcW w:w="86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sz w:val="28"/>
                <w:szCs w:val="28"/>
              </w:rPr>
              <w:t>2</w:t>
            </w:r>
          </w:p>
        </w:tc>
        <w:tc>
          <w:tcPr>
            <w:tcW w:w="1744" w:type="dxa"/>
          </w:tcPr>
          <w:p w:rsidR="00511539" w:rsidRPr="00D807EA" w:rsidRDefault="00511539" w:rsidP="00511539">
            <w:pPr>
              <w:rPr>
                <w:rFonts w:ascii="黑体" w:eastAsia="黑体" w:hAnsi="黑体"/>
                <w:sz w:val="28"/>
                <w:szCs w:val="28"/>
              </w:rPr>
            </w:pP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hint="eastAsia"/>
                <w:sz w:val="28"/>
                <w:szCs w:val="28"/>
              </w:rPr>
              <w:t>新能源新材料、</w:t>
            </w:r>
            <w:proofErr w:type="gramStart"/>
            <w:r w:rsidRPr="00511539">
              <w:rPr>
                <w:rFonts w:ascii="黑体" w:eastAsia="黑体" w:hAnsi="黑体" w:hint="eastAsia"/>
                <w:sz w:val="28"/>
                <w:szCs w:val="28"/>
              </w:rPr>
              <w:t>医养健康</w:t>
            </w:r>
            <w:proofErr w:type="gramEnd"/>
            <w:r w:rsidRPr="00511539">
              <w:rPr>
                <w:rFonts w:ascii="黑体" w:eastAsia="黑体" w:hAnsi="黑体" w:hint="eastAsia"/>
                <w:sz w:val="28"/>
                <w:szCs w:val="28"/>
              </w:rPr>
              <w:t xml:space="preserve">产业、绿色化工产业 </w:t>
            </w:r>
          </w:p>
        </w:tc>
        <w:tc>
          <w:tcPr>
            <w:tcW w:w="1417"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特聘教授</w:t>
            </w:r>
          </w:p>
        </w:tc>
        <w:tc>
          <w:tcPr>
            <w:tcW w:w="1418"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left"/>
              <w:rPr>
                <w:rFonts w:ascii="黑体" w:eastAsia="黑体" w:hAnsi="黑体" w:hint="eastAsia"/>
                <w:sz w:val="28"/>
                <w:szCs w:val="28"/>
              </w:rPr>
            </w:pPr>
            <w:r w:rsidRPr="00511539">
              <w:rPr>
                <w:rFonts w:ascii="黑体" w:eastAsia="黑体" w:hAnsi="黑体" w:hint="eastAsia"/>
                <w:sz w:val="28"/>
                <w:szCs w:val="28"/>
              </w:rPr>
              <w:t>有机合成</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65周岁以下(Under 65 years old)</w:t>
            </w:r>
          </w:p>
        </w:tc>
        <w:tc>
          <w:tcPr>
            <w:tcW w:w="86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511539" w:rsidRPr="00D807EA" w:rsidRDefault="00511539" w:rsidP="00511539">
            <w:pPr>
              <w:rPr>
                <w:rFonts w:ascii="黑体" w:eastAsia="黑体" w:hAnsi="黑体"/>
                <w:sz w:val="28"/>
                <w:szCs w:val="28"/>
              </w:rPr>
            </w:pP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新能源新材料、</w:t>
            </w:r>
            <w:proofErr w:type="gramStart"/>
            <w:r w:rsidRPr="00511539">
              <w:rPr>
                <w:rFonts w:ascii="黑体" w:eastAsia="黑体" w:hAnsi="黑体" w:hint="eastAsia"/>
                <w:sz w:val="28"/>
                <w:szCs w:val="28"/>
              </w:rPr>
              <w:t>医养健康</w:t>
            </w:r>
            <w:proofErr w:type="gramEnd"/>
            <w:r w:rsidRPr="00511539">
              <w:rPr>
                <w:rFonts w:ascii="黑体" w:eastAsia="黑体" w:hAnsi="黑体" w:hint="eastAsia"/>
                <w:sz w:val="28"/>
                <w:szCs w:val="28"/>
              </w:rPr>
              <w:t xml:space="preserve">产业、绿色化工产业 </w:t>
            </w:r>
          </w:p>
        </w:tc>
        <w:tc>
          <w:tcPr>
            <w:tcW w:w="1417"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特聘教授</w:t>
            </w:r>
          </w:p>
        </w:tc>
        <w:tc>
          <w:tcPr>
            <w:tcW w:w="1418"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left"/>
              <w:rPr>
                <w:rFonts w:ascii="黑体" w:eastAsia="黑体" w:hAnsi="黑体" w:hint="eastAsia"/>
                <w:sz w:val="28"/>
                <w:szCs w:val="28"/>
              </w:rPr>
            </w:pPr>
            <w:r w:rsidRPr="00511539">
              <w:rPr>
                <w:rFonts w:ascii="黑体" w:eastAsia="黑体" w:hAnsi="黑体" w:hint="eastAsia"/>
                <w:sz w:val="28"/>
                <w:szCs w:val="28"/>
              </w:rPr>
              <w:t>纳米材料</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65周岁以下(Under 65 years old)</w:t>
            </w:r>
          </w:p>
        </w:tc>
        <w:tc>
          <w:tcPr>
            <w:tcW w:w="86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511539" w:rsidRPr="00D807EA" w:rsidRDefault="00511539" w:rsidP="00511539">
            <w:pPr>
              <w:rPr>
                <w:rFonts w:ascii="黑体" w:eastAsia="黑体" w:hAnsi="黑体"/>
                <w:sz w:val="28"/>
                <w:szCs w:val="28"/>
              </w:rPr>
            </w:pPr>
          </w:p>
        </w:tc>
      </w:tr>
      <w:tr w:rsidR="00511539" w:rsidTr="00616B48">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auto"/>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新能源新材料、</w:t>
            </w:r>
            <w:proofErr w:type="gramStart"/>
            <w:r w:rsidRPr="00511539">
              <w:rPr>
                <w:rFonts w:ascii="黑体" w:eastAsia="黑体" w:hAnsi="黑体" w:hint="eastAsia"/>
                <w:sz w:val="28"/>
                <w:szCs w:val="28"/>
              </w:rPr>
              <w:t>医养健康</w:t>
            </w:r>
            <w:proofErr w:type="gramEnd"/>
            <w:r w:rsidRPr="00511539">
              <w:rPr>
                <w:rFonts w:ascii="黑体" w:eastAsia="黑体" w:hAnsi="黑体" w:hint="eastAsia"/>
                <w:sz w:val="28"/>
                <w:szCs w:val="28"/>
              </w:rPr>
              <w:t xml:space="preserve">产业、绿色化工产业 </w:t>
            </w:r>
          </w:p>
        </w:tc>
        <w:tc>
          <w:tcPr>
            <w:tcW w:w="1417"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特聘教授</w:t>
            </w:r>
          </w:p>
        </w:tc>
        <w:tc>
          <w:tcPr>
            <w:tcW w:w="1418"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left"/>
              <w:rPr>
                <w:rFonts w:ascii="黑体" w:eastAsia="黑体" w:hAnsi="黑体" w:hint="eastAsia"/>
                <w:sz w:val="28"/>
                <w:szCs w:val="28"/>
              </w:rPr>
            </w:pPr>
            <w:r w:rsidRPr="00511539">
              <w:rPr>
                <w:rFonts w:ascii="黑体" w:eastAsia="黑体" w:hAnsi="黑体" w:hint="eastAsia"/>
                <w:sz w:val="28"/>
                <w:szCs w:val="28"/>
              </w:rPr>
              <w:t>理论计算化学</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65周岁以下(Under 65 years old)</w:t>
            </w:r>
          </w:p>
        </w:tc>
        <w:tc>
          <w:tcPr>
            <w:tcW w:w="869" w:type="dxa"/>
            <w:tcBorders>
              <w:top w:val="nil"/>
              <w:left w:val="nil"/>
              <w:bottom w:val="single" w:sz="4" w:space="0" w:color="auto"/>
              <w:right w:val="single" w:sz="4" w:space="0" w:color="auto"/>
            </w:tcBorders>
            <w:shd w:val="clear" w:color="auto" w:fill="auto"/>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511539" w:rsidRPr="00D807EA" w:rsidRDefault="00511539" w:rsidP="00511539">
            <w:pPr>
              <w:rPr>
                <w:rFonts w:ascii="黑体" w:eastAsia="黑体" w:hAnsi="黑体"/>
                <w:sz w:val="28"/>
                <w:szCs w:val="28"/>
              </w:rPr>
            </w:pPr>
          </w:p>
        </w:tc>
      </w:tr>
      <w:tr w:rsidR="00511539" w:rsidTr="006F1B59">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sz w:val="28"/>
                <w:szCs w:val="28"/>
              </w:rPr>
            </w:pPr>
            <w:r w:rsidRPr="00511539">
              <w:rPr>
                <w:rFonts w:ascii="黑体" w:eastAsia="黑体" w:hAnsi="黑体" w:hint="eastAsia"/>
                <w:sz w:val="28"/>
                <w:szCs w:val="28"/>
              </w:rPr>
              <w:t>教育技术学、计算机科学与技术、新闻传播学、戏剧与影视学、电影学、广播电视艺术学、图书馆学、情报学</w:t>
            </w:r>
          </w:p>
        </w:tc>
        <w:tc>
          <w:tcPr>
            <w:tcW w:w="1417" w:type="dxa"/>
            <w:tcBorders>
              <w:top w:val="single" w:sz="4" w:space="0" w:color="000000"/>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rsidR="00511539" w:rsidRPr="00511539" w:rsidRDefault="002273D6" w:rsidP="00511539">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single" w:sz="4" w:space="0" w:color="000000"/>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511539" w:rsidRPr="00D807EA" w:rsidRDefault="00511539" w:rsidP="00511539">
            <w:pPr>
              <w:rPr>
                <w:rFonts w:ascii="黑体" w:eastAsia="黑体" w:hAnsi="黑体"/>
                <w:sz w:val="28"/>
                <w:szCs w:val="28"/>
              </w:rPr>
            </w:pPr>
          </w:p>
        </w:tc>
      </w:tr>
      <w:tr w:rsidR="00511539" w:rsidTr="006F1B59">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控制科学与工程、电气工程、机械工程</w:t>
            </w:r>
          </w:p>
        </w:tc>
        <w:tc>
          <w:tcPr>
            <w:tcW w:w="1417"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2273D6" w:rsidP="00511539">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511539" w:rsidRPr="00D807EA" w:rsidRDefault="00511539" w:rsidP="00511539">
            <w:pPr>
              <w:rPr>
                <w:rFonts w:ascii="黑体" w:eastAsia="黑体" w:hAnsi="黑体"/>
                <w:sz w:val="28"/>
                <w:szCs w:val="28"/>
              </w:rPr>
            </w:pPr>
          </w:p>
        </w:tc>
      </w:tr>
      <w:tr w:rsidR="00511539" w:rsidTr="006F1B59">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教育学、心理学</w:t>
            </w:r>
          </w:p>
        </w:tc>
        <w:tc>
          <w:tcPr>
            <w:tcW w:w="1417"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2273D6" w:rsidP="00511539">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511539" w:rsidRPr="00D807EA" w:rsidRDefault="00511539" w:rsidP="00511539">
            <w:pPr>
              <w:rPr>
                <w:rFonts w:ascii="黑体" w:eastAsia="黑体" w:hAnsi="黑体"/>
                <w:sz w:val="28"/>
                <w:szCs w:val="28"/>
              </w:rPr>
            </w:pPr>
          </w:p>
        </w:tc>
      </w:tr>
      <w:tr w:rsidR="00511539" w:rsidTr="006F1B59">
        <w:tc>
          <w:tcPr>
            <w:tcW w:w="846" w:type="dxa"/>
          </w:tcPr>
          <w:p w:rsidR="00511539" w:rsidRPr="006F1B59" w:rsidRDefault="00511539" w:rsidP="00511539">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理论经济学、应用经济学、农林经济管理</w:t>
            </w:r>
          </w:p>
        </w:tc>
        <w:tc>
          <w:tcPr>
            <w:tcW w:w="1417"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w:t>
            </w:r>
            <w:r w:rsidRPr="00511539">
              <w:rPr>
                <w:rFonts w:ascii="黑体" w:eastAsia="黑体" w:hAnsi="黑体" w:hint="eastAsia"/>
                <w:sz w:val="28"/>
                <w:szCs w:val="28"/>
              </w:rPr>
              <w:lastRenderedPageBreak/>
              <w:t>格</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lastRenderedPageBreak/>
              <w:t>博士学位</w:t>
            </w:r>
          </w:p>
        </w:tc>
        <w:tc>
          <w:tcPr>
            <w:tcW w:w="1559" w:type="dxa"/>
            <w:tcBorders>
              <w:top w:val="nil"/>
              <w:left w:val="nil"/>
              <w:bottom w:val="single" w:sz="4" w:space="0" w:color="000000"/>
              <w:right w:val="single" w:sz="4" w:space="0" w:color="000000"/>
            </w:tcBorders>
            <w:shd w:val="clear" w:color="000000" w:fill="FFFFFF"/>
            <w:vAlign w:val="center"/>
          </w:tcPr>
          <w:p w:rsidR="00511539" w:rsidRPr="00511539" w:rsidRDefault="002273D6" w:rsidP="00511539">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511539" w:rsidRPr="00511539" w:rsidRDefault="00511539" w:rsidP="00511539">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511539" w:rsidRPr="00D807EA" w:rsidRDefault="00511539" w:rsidP="00511539">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中国语言文学、中国史、哲学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5</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中国史、世界史</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马克思主义理论、马克思主义哲学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生态学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艺术学理论</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数学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体育学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w:t>
            </w:r>
            <w:r w:rsidRPr="00511539">
              <w:rPr>
                <w:rFonts w:ascii="黑体" w:eastAsia="黑体" w:hAnsi="黑体" w:hint="eastAsia"/>
                <w:sz w:val="28"/>
                <w:szCs w:val="28"/>
              </w:rPr>
              <w:lastRenderedPageBreak/>
              <w:t>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lastRenderedPageBreak/>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外国语言文学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物理学、材料科学与工程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计算机科学与技术、控制科学与工程、信息与通信工程、电子科学与技术、数学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哲学、政治学、社会学、公共管理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正高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具有正高级专业技术职务资格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教育技术学、计算机科学与技术、新闻传播学、戏剧与影视学、电影学、广播电视艺术学、图书馆学、情报学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地理学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4</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旅游管理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土地资源管理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法学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外国语言文学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控制科学与工程、电气工程、机械工程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w:t>
            </w:r>
            <w:r w:rsidRPr="00511539">
              <w:rPr>
                <w:rFonts w:ascii="黑体" w:eastAsia="黑体" w:hAnsi="黑体" w:hint="eastAsia"/>
                <w:sz w:val="28"/>
                <w:szCs w:val="28"/>
              </w:rPr>
              <w:lastRenderedPageBreak/>
              <w:t>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lastRenderedPageBreak/>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数学、管理科学与工程、工商管理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材料科学与工程、化学、化学工程与技术、药物化学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教育学、心理学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理论经济学、应用经济学、农林经济管理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中国语言文学、中国史、哲学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5</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中国史、世界史</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马克思主义理论、马克思主义哲学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w:t>
            </w:r>
            <w:r w:rsidRPr="00511539">
              <w:rPr>
                <w:rFonts w:ascii="黑体" w:eastAsia="黑体" w:hAnsi="黑体" w:hint="eastAsia"/>
                <w:sz w:val="28"/>
                <w:szCs w:val="28"/>
              </w:rPr>
              <w:lastRenderedPageBreak/>
              <w:t>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lastRenderedPageBreak/>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4</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艺术学理论、美术学、设计学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软件工程、计算机科学与技术、电子科学与技术、信息与通信工程、控制科学与工程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生态学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数学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体育学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统计学、数学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外国语言文学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物理学、材料科学与工程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计算机科学与技术、控制科学与工程、信息与通信工程、电子科学与技术、数学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音乐与舞蹈学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哲学、政治学、社会学、公共管理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副高</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具有副高级及以上专业技术职务资格</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hint="eastAsia"/>
                <w:sz w:val="28"/>
                <w:szCs w:val="28"/>
              </w:rPr>
              <w:t>5</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教育技术学、计算机科学与技术</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新闻传播学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戏剧与影视学、电影学、广播电视艺术学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图书馆学、情报学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地理学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w:t>
            </w:r>
            <w:r>
              <w:rPr>
                <w:rFonts w:ascii="黑体" w:eastAsia="黑体" w:hAnsi="黑体"/>
                <w:sz w:val="28"/>
                <w:szCs w:val="28"/>
              </w:rPr>
              <w:t>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10</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土地资源管理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旅游管理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环境科学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大气科学、海洋科学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生态学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城市规划与设计</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地质学、土木工程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4</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水利工程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测绘科学与技术</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课程与教学论</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法学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6</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经济法学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英语语言文学、外国语言学及应用语言学、翻译学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日语语言文学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亚非语言文学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控制科学与工程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7</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电气工程、机械工程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8</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数学、管理科学与工程、工商管理、系统科学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9</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语言学及应用语言学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汉语言文学</w:t>
            </w:r>
            <w:proofErr w:type="gramStart"/>
            <w:r w:rsidRPr="00511539">
              <w:rPr>
                <w:rFonts w:ascii="黑体" w:eastAsia="黑体" w:hAnsi="黑体" w:hint="eastAsia"/>
                <w:sz w:val="28"/>
                <w:szCs w:val="28"/>
              </w:rPr>
              <w:t>学</w:t>
            </w:r>
            <w:proofErr w:type="gramEnd"/>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材料科学与工程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化学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5</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化学工程与技术</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药物化学、制药工程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课程与教学论</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管理科学与工程、公共管理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计算机科学与技术</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7</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心理学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理论经济学、应用经济学、农林经济管理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8</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中国语言文学、中国史、哲学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8</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教育学、艺术学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5</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中国史</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4</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世界史</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5</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工商管理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考古学及博物馆学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课程与教学论、教育博士</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马克思主义理论</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7</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马克思主义哲学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课程与教学论</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艺术学理论、美术学、设计学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8</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软件工程、计算机科学与技术</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5</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电子科学与技术、信息与通信工程、控制科学与工程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生态学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4</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环境科学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4</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生物学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8</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艺术学理论</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数学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控制科学与工程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课程与教学论</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体育学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10</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统计学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6</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数学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数学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英语语言文学、俄语语言文学、法语语言文学、外国语言学及应用语言学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课程与教学论</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5</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物理学、光学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材料科学与工程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电子科学与技术</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信息与通信工程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计算机科学与技术</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6</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控制科学与工程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信息与通信工程</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电子科学与技术</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数学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音乐与舞蹈学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4</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中国史</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运筹学与控制论</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3</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政治学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6</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社会学、民族学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公共管理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体育学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2</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教育学原理</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教育史</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考古学及博物馆学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专门史</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r w:rsidR="002273D6" w:rsidTr="006F1B59">
        <w:tc>
          <w:tcPr>
            <w:tcW w:w="846" w:type="dxa"/>
          </w:tcPr>
          <w:p w:rsidR="002273D6" w:rsidRPr="006F1B59" w:rsidRDefault="002273D6" w:rsidP="002273D6">
            <w:pPr>
              <w:pStyle w:val="a4"/>
              <w:numPr>
                <w:ilvl w:val="0"/>
                <w:numId w:val="1"/>
              </w:numPr>
              <w:ind w:firstLineChars="0"/>
              <w:rPr>
                <w:rFonts w:ascii="黑体" w:eastAsia="黑体" w:hAnsi="黑体"/>
                <w:sz w:val="28"/>
                <w:szCs w:val="28"/>
              </w:rPr>
            </w:pPr>
          </w:p>
        </w:tc>
        <w:tc>
          <w:tcPr>
            <w:tcW w:w="4536" w:type="dxa"/>
            <w:gridSpan w:val="2"/>
            <w:tcBorders>
              <w:top w:val="nil"/>
              <w:left w:val="single" w:sz="4" w:space="0" w:color="000000"/>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中国语言文学</w:t>
            </w:r>
          </w:p>
        </w:tc>
        <w:tc>
          <w:tcPr>
            <w:tcW w:w="1417"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中级</w:t>
            </w:r>
          </w:p>
        </w:tc>
        <w:tc>
          <w:tcPr>
            <w:tcW w:w="1418"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 xml:space="preserve">　</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博士学位</w:t>
            </w:r>
          </w:p>
        </w:tc>
        <w:tc>
          <w:tcPr>
            <w:tcW w:w="155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Pr>
                <w:rFonts w:ascii="黑体" w:eastAsia="黑体" w:hAnsi="黑体"/>
                <w:sz w:val="28"/>
                <w:szCs w:val="28"/>
              </w:rPr>
              <w:t>45</w:t>
            </w:r>
            <w:r>
              <w:rPr>
                <w:rFonts w:ascii="黑体" w:eastAsia="黑体" w:hAnsi="黑体" w:hint="eastAsia"/>
                <w:sz w:val="28"/>
                <w:szCs w:val="28"/>
              </w:rPr>
              <w:t>周岁以下</w:t>
            </w:r>
            <w:bookmarkStart w:id="0" w:name="_GoBack"/>
            <w:bookmarkEnd w:id="0"/>
          </w:p>
        </w:tc>
        <w:tc>
          <w:tcPr>
            <w:tcW w:w="869" w:type="dxa"/>
            <w:tcBorders>
              <w:top w:val="nil"/>
              <w:left w:val="nil"/>
              <w:bottom w:val="single" w:sz="4" w:space="0" w:color="000000"/>
              <w:right w:val="single" w:sz="4" w:space="0" w:color="000000"/>
            </w:tcBorders>
            <w:shd w:val="clear" w:color="000000" w:fill="FFFFFF"/>
            <w:vAlign w:val="center"/>
          </w:tcPr>
          <w:p w:rsidR="002273D6" w:rsidRPr="00511539" w:rsidRDefault="002273D6" w:rsidP="002273D6">
            <w:pPr>
              <w:spacing w:line="300" w:lineRule="exact"/>
              <w:jc w:val="center"/>
              <w:rPr>
                <w:rFonts w:ascii="黑体" w:eastAsia="黑体" w:hAnsi="黑体" w:hint="eastAsia"/>
                <w:sz w:val="28"/>
                <w:szCs w:val="28"/>
              </w:rPr>
            </w:pPr>
            <w:r w:rsidRPr="00511539">
              <w:rPr>
                <w:rFonts w:ascii="黑体" w:eastAsia="黑体" w:hAnsi="黑体" w:hint="eastAsia"/>
                <w:sz w:val="28"/>
                <w:szCs w:val="28"/>
              </w:rPr>
              <w:t>1</w:t>
            </w:r>
          </w:p>
        </w:tc>
        <w:tc>
          <w:tcPr>
            <w:tcW w:w="1744" w:type="dxa"/>
          </w:tcPr>
          <w:p w:rsidR="002273D6" w:rsidRPr="00D807EA" w:rsidRDefault="002273D6" w:rsidP="002273D6">
            <w:pPr>
              <w:rPr>
                <w:rFonts w:ascii="黑体" w:eastAsia="黑体" w:hAnsi="黑体"/>
                <w:sz w:val="28"/>
                <w:szCs w:val="28"/>
              </w:rPr>
            </w:pPr>
          </w:p>
        </w:tc>
      </w:tr>
    </w:tbl>
    <w:p w:rsidR="0028125A" w:rsidRDefault="0028125A"/>
    <w:sectPr w:rsidR="0028125A" w:rsidSect="0028125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378F0"/>
    <w:multiLevelType w:val="hybridMultilevel"/>
    <w:tmpl w:val="E35E4D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5A"/>
    <w:rsid w:val="002273D6"/>
    <w:rsid w:val="0028125A"/>
    <w:rsid w:val="003A6E1F"/>
    <w:rsid w:val="00511539"/>
    <w:rsid w:val="006F1B59"/>
    <w:rsid w:val="009443C3"/>
    <w:rsid w:val="00D54A50"/>
    <w:rsid w:val="00D8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F087"/>
  <w15:chartTrackingRefBased/>
  <w15:docId w15:val="{BBD656BA-37E9-4BFA-B4A6-D4898575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1B59"/>
    <w:pPr>
      <w:ind w:firstLineChars="200" w:firstLine="420"/>
    </w:pPr>
  </w:style>
  <w:style w:type="character" w:styleId="a5">
    <w:name w:val="Hyperlink"/>
    <w:basedOn w:val="a0"/>
    <w:uiPriority w:val="99"/>
    <w:semiHidden/>
    <w:unhideWhenUsed/>
    <w:rsid w:val="009443C3"/>
    <w:rPr>
      <w:color w:val="0000FF"/>
      <w:u w:val="single"/>
    </w:rPr>
  </w:style>
  <w:style w:type="paragraph" w:styleId="a6">
    <w:name w:val="Normal (Web)"/>
    <w:basedOn w:val="a"/>
    <w:uiPriority w:val="99"/>
    <w:unhideWhenUsed/>
    <w:rsid w:val="00D54A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52543">
      <w:bodyDiv w:val="1"/>
      <w:marLeft w:val="0"/>
      <w:marRight w:val="0"/>
      <w:marTop w:val="0"/>
      <w:marBottom w:val="0"/>
      <w:divBdr>
        <w:top w:val="none" w:sz="0" w:space="0" w:color="auto"/>
        <w:left w:val="none" w:sz="0" w:space="0" w:color="auto"/>
        <w:bottom w:val="none" w:sz="0" w:space="0" w:color="auto"/>
        <w:right w:val="none" w:sz="0" w:space="0" w:color="auto"/>
      </w:divBdr>
    </w:div>
    <w:div w:id="15779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sk6483@126.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sc.qfnu.edu.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3FE0-367A-433C-A4C9-F561B511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人才处</cp:lastModifiedBy>
  <cp:revision>5</cp:revision>
  <dcterms:created xsi:type="dcterms:W3CDTF">2020-05-13T01:06:00Z</dcterms:created>
  <dcterms:modified xsi:type="dcterms:W3CDTF">2020-05-14T01:18:00Z</dcterms:modified>
</cp:coreProperties>
</file>